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6.10养护车辆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10395_WPSOffice_Level2"/>
      <w:bookmarkStart w:id="4" w:name="_Toc6496_WPSOffice_Level2"/>
      <w:bookmarkStart w:id="5" w:name="_Toc12765"/>
      <w:bookmarkStart w:id="6" w:name="_Toc525632585"/>
      <w:bookmarkStart w:id="7" w:name="_Toc13871"/>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6.10养护车辆</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23266_WPSOffice_Level2"/>
      <w:bookmarkStart w:id="11" w:name="_Toc8128_WPSOffice_Level2"/>
      <w:bookmarkStart w:id="12" w:name="_Toc18367_WPSOffice_Level2"/>
      <w:bookmarkStart w:id="13" w:name="_Toc525632586"/>
      <w:bookmarkStart w:id="14" w:name="_Toc18453"/>
      <w:bookmarkStart w:id="15" w:name="_Toc10274"/>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购高速清扫车1辆，防撞缓冲车1辆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2个包；01包</w:t>
      </w:r>
      <w:r>
        <w:rPr>
          <w:rFonts w:hint="eastAsia" w:ascii="Times New Roman" w:hAnsi="Times New Roman" w:cs="Times New Roman"/>
          <w:szCs w:val="22"/>
          <w:highlight w:val="none"/>
          <w:u w:val="single"/>
          <w:lang w:val="en-US" w:eastAsia="zh-CN"/>
        </w:rPr>
        <w:t>高速清扫车，02包防撞缓冲车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175万元；其中</w:t>
      </w:r>
      <w:r>
        <w:rPr>
          <w:rFonts w:hint="eastAsia" w:ascii="Times New Roman" w:hAnsi="Times New Roman" w:cs="Times New Roman"/>
          <w:szCs w:val="22"/>
          <w:highlight w:val="none"/>
          <w:u w:val="single"/>
          <w:lang w:val="en-US" w:eastAsia="zh-CN"/>
        </w:rPr>
        <w:t>高速清扫车限价140万元，防撞缓冲车限价35万元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1622_WPSOffice_Level2"/>
      <w:bookmarkStart w:id="20" w:name="_Toc22379_WPSOffice_Level2"/>
      <w:bookmarkStart w:id="21" w:name="_Toc31673_WPSOffice_Level2"/>
      <w:bookmarkStart w:id="22" w:name="_Toc525632587"/>
      <w:bookmarkStart w:id="23" w:name="_Toc3714"/>
      <w:bookmarkStart w:id="24" w:name="_Toc6388"/>
      <w:bookmarkStart w:id="25" w:name="_Toc29516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r>
        <w:rPr>
          <w:rFonts w:hint="eastAsia"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1994"/>
      <w:bookmarkStart w:id="28" w:name="_Toc4751"/>
      <w:bookmarkStart w:id="29" w:name="_Toc29452_WPSOffice_Level2"/>
      <w:bookmarkStart w:id="30" w:name="_Toc25666_WPSOffice_Level2"/>
      <w:bookmarkStart w:id="31" w:name="_Toc2996_WPSOffice_Level2"/>
      <w:bookmarkStart w:id="32" w:name="_Toc525632588"/>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6</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17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 xml:space="preserve"> 10  </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bookmarkStart w:id="164" w:name="_GoBack"/>
      <w:bookmarkEnd w:id="164"/>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16</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8501"/>
      <w:bookmarkStart w:id="38" w:name="_Toc28571_WPSOffice_Level2"/>
      <w:bookmarkStart w:id="39" w:name="_Toc321_WPSOffice_Level2"/>
      <w:bookmarkStart w:id="40" w:name="_Toc14943_WPSOffice_Level2"/>
      <w:bookmarkStart w:id="41" w:name="_Toc26829"/>
      <w:bookmarkStart w:id="42" w:name="_Toc52563259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2个包</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9067726"/>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26656988"/>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2个</w:t>
            </w:r>
            <w:r>
              <w:rPr>
                <w:rFonts w:hint="eastAsia"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6.1所购车辆送到询价单位指定交付地点经验收合格并开具机动车销售增值税专用发票，车辆交接验收完成后</w:t>
      </w:r>
      <w:r>
        <w:rPr>
          <w:rFonts w:hint="eastAsia" w:ascii="Times New Roman" w:hAnsi="Times New Roman" w:cs="Times New Roman"/>
          <w:szCs w:val="21"/>
          <w:lang w:val="en-US" w:eastAsia="zh-CN"/>
        </w:rPr>
        <w:t>30</w:t>
      </w:r>
      <w:r>
        <w:rPr>
          <w:rFonts w:hint="eastAsia" w:ascii="Times New Roman" w:hAnsi="Times New Roman" w:cs="Times New Roman"/>
          <w:szCs w:val="21"/>
        </w:rPr>
        <w:t>个工作日内，甲方财务部门以对公转账形式支付合同金额的9</w:t>
      </w:r>
      <w:r>
        <w:rPr>
          <w:rFonts w:hint="eastAsia" w:ascii="Times New Roman" w:hAnsi="Times New Roman" w:cs="Times New Roman"/>
          <w:szCs w:val="21"/>
          <w:lang w:val="en-US" w:eastAsia="zh-CN"/>
        </w:rPr>
        <w:t>5</w:t>
      </w:r>
      <w:r>
        <w:rPr>
          <w:rFonts w:hint="eastAsia" w:ascii="Times New Roman" w:hAnsi="Times New Roman" w:cs="Times New Roman"/>
          <w:szCs w:val="21"/>
        </w:rPr>
        <w:t>%，余下</w:t>
      </w:r>
      <w:r>
        <w:rPr>
          <w:rFonts w:hint="eastAsia" w:ascii="Times New Roman" w:hAnsi="Times New Roman" w:cs="Times New Roman"/>
          <w:szCs w:val="21"/>
          <w:lang w:val="en-US" w:eastAsia="zh-CN"/>
        </w:rPr>
        <w:t>5</w:t>
      </w:r>
      <w:r>
        <w:rPr>
          <w:rFonts w:hint="eastAsia" w:ascii="Times New Roman" w:hAnsi="Times New Roman" w:cs="Times New Roman"/>
          <w:szCs w:val="21"/>
        </w:rPr>
        <w:t>%作为质保金。质保金期限（</w:t>
      </w:r>
      <w:r>
        <w:rPr>
          <w:rFonts w:hint="eastAsia" w:ascii="Times New Roman" w:hAnsi="Times New Roman" w:cs="Times New Roman"/>
          <w:szCs w:val="21"/>
          <w:lang w:val="en-US" w:eastAsia="zh-CN"/>
        </w:rPr>
        <w:t>24</w:t>
      </w:r>
      <w:r>
        <w:rPr>
          <w:rFonts w:hint="eastAsia" w:ascii="Times New Roman" w:hAnsi="Times New Roman" w:cs="Times New Roman"/>
          <w:szCs w:val="21"/>
        </w:rPr>
        <w:t>个月），质保期内如发生质量问题（非买方原因），乙方需及时负责返修，否则甲方有权委托</w:t>
      </w:r>
      <w:r>
        <w:rPr>
          <w:rFonts w:hint="eastAsia" w:ascii="Times New Roman" w:hAnsi="Times New Roman" w:cs="Times New Roman"/>
          <w:szCs w:val="21"/>
          <w:lang w:eastAsia="zh-CN"/>
        </w:rPr>
        <w:t>其他</w:t>
      </w:r>
      <w:r>
        <w:rPr>
          <w:rFonts w:hint="eastAsia" w:ascii="Times New Roman" w:hAnsi="Times New Roman" w:cs="Times New Roman"/>
          <w:szCs w:val="21"/>
        </w:rPr>
        <w:t>单位维修，费用从质保金中扣除，在质保期满后（</w:t>
      </w:r>
      <w:r>
        <w:rPr>
          <w:rFonts w:hint="eastAsia" w:ascii="Times New Roman" w:hAnsi="Times New Roman" w:cs="Times New Roman"/>
          <w:szCs w:val="21"/>
          <w:lang w:val="en-US" w:eastAsia="zh-CN"/>
        </w:rPr>
        <w:t>24</w:t>
      </w:r>
      <w:r>
        <w:rPr>
          <w:rFonts w:hint="eastAsia" w:ascii="Times New Roman" w:hAnsi="Times New Roman" w:cs="Times New Roman"/>
          <w:szCs w:val="21"/>
        </w:rPr>
        <w:t>个月）甲方将剩余的保留金无息退还给乙方。</w:t>
      </w: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62E96102">
      <w:pPr>
        <w:rPr>
          <w:rFonts w:hint="eastAsia" w:ascii="宋体" w:hAnsi="宋体" w:eastAsia="宋体" w:cs="宋体"/>
          <w:sz w:val="21"/>
          <w:szCs w:val="21"/>
          <w:lang w:eastAsia="en-US"/>
        </w:rPr>
      </w:pPr>
      <w:bookmarkStart w:id="79" w:name="_Toc101186772"/>
      <w:bookmarkStart w:id="80" w:name="_Toc9834_WPSOffice_Level1"/>
      <w:r>
        <w:rPr>
          <w:rFonts w:hint="eastAsia" w:ascii="宋体" w:hAnsi="宋体" w:eastAsia="宋体" w:cs="宋体"/>
          <w:color w:val="000000"/>
          <w:kern w:val="0"/>
          <w:sz w:val="21"/>
          <w:szCs w:val="21"/>
          <w:lang w:val="en-US" w:eastAsia="zh-CN" w:bidi="ar"/>
        </w:rPr>
        <w:t xml:space="preserve"> 一、</w:t>
      </w:r>
      <w:r>
        <w:rPr>
          <w:rFonts w:hint="eastAsia" w:ascii="宋体" w:hAnsi="宋体" w:eastAsia="宋体" w:cs="宋体"/>
          <w:sz w:val="21"/>
          <w:szCs w:val="21"/>
          <w:lang w:val="en-US" w:eastAsia="zh-CN"/>
        </w:rPr>
        <w:t>高速清扫</w:t>
      </w:r>
      <w:r>
        <w:rPr>
          <w:rFonts w:hint="eastAsia" w:ascii="宋体" w:hAnsi="宋体" w:eastAsia="宋体" w:cs="宋体"/>
          <w:sz w:val="21"/>
          <w:szCs w:val="21"/>
          <w:lang w:eastAsia="en-US"/>
        </w:rPr>
        <w:t>车技术性能指标一览表</w:t>
      </w:r>
    </w:p>
    <w:tbl>
      <w:tblPr>
        <w:tblStyle w:val="14"/>
        <w:tblW w:w="48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5"/>
        <w:gridCol w:w="7593"/>
      </w:tblGrid>
      <w:tr w14:paraId="0C2A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5677FDF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4552" w:type="pct"/>
            <w:noWrap w:val="0"/>
            <w:vAlign w:val="center"/>
          </w:tcPr>
          <w:p w14:paraId="5EC6BD2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高速清扫车主要技术指标和要求</w:t>
            </w:r>
          </w:p>
        </w:tc>
      </w:tr>
      <w:tr w14:paraId="52E2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3018EF5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552" w:type="pct"/>
            <w:noWrap w:val="0"/>
            <w:vAlign w:val="center"/>
          </w:tcPr>
          <w:p w14:paraId="6487317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整车长：≤9880*2550*3270mm（含前连装置尺寸）；</w:t>
            </w:r>
          </w:p>
        </w:tc>
      </w:tr>
      <w:tr w14:paraId="2FCF6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DA8CF8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552" w:type="pct"/>
            <w:noWrap w:val="0"/>
            <w:vAlign w:val="center"/>
          </w:tcPr>
          <w:p w14:paraId="1533A81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最大总质量≥18000kg；</w:t>
            </w:r>
          </w:p>
        </w:tc>
      </w:tr>
      <w:tr w14:paraId="72FA3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81994C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552" w:type="pct"/>
            <w:noWrap w:val="0"/>
            <w:vAlign w:val="center"/>
          </w:tcPr>
          <w:p w14:paraId="4D2E1D6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整备质量≥13000kg</w:t>
            </w:r>
          </w:p>
        </w:tc>
      </w:tr>
      <w:tr w14:paraId="41B6A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0E18AC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552" w:type="pct"/>
            <w:noWrap w:val="0"/>
            <w:vAlign w:val="center"/>
          </w:tcPr>
          <w:p w14:paraId="69BFBB4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驱动形式：4*2；</w:t>
            </w:r>
          </w:p>
        </w:tc>
      </w:tr>
      <w:tr w14:paraId="03428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29344C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552" w:type="pct"/>
            <w:noWrap w:val="0"/>
            <w:vAlign w:val="center"/>
          </w:tcPr>
          <w:p w14:paraId="0314D4D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燃料：柴油；</w:t>
            </w:r>
          </w:p>
        </w:tc>
      </w:tr>
      <w:tr w14:paraId="16A7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53B4B4E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552" w:type="pct"/>
            <w:noWrap w:val="0"/>
            <w:vAlign w:val="center"/>
          </w:tcPr>
          <w:p w14:paraId="7800987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排放标准：整车不低于国六排放</w:t>
            </w:r>
          </w:p>
        </w:tc>
      </w:tr>
      <w:tr w14:paraId="6DC42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E6DE0C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552" w:type="pct"/>
            <w:noWrap w:val="0"/>
            <w:vAlign w:val="center"/>
          </w:tcPr>
          <w:p w14:paraId="3A48892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底盘采用重汽或同等级别知名品牌；</w:t>
            </w:r>
          </w:p>
        </w:tc>
      </w:tr>
      <w:tr w14:paraId="2F7B7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693BF63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552" w:type="pct"/>
            <w:noWrap w:val="0"/>
            <w:vAlign w:val="center"/>
          </w:tcPr>
          <w:p w14:paraId="6AF686E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底盘发动机最大输出功率≥250kw；</w:t>
            </w:r>
          </w:p>
        </w:tc>
      </w:tr>
      <w:tr w14:paraId="55783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26363A0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552" w:type="pct"/>
            <w:noWrap w:val="0"/>
            <w:vAlign w:val="center"/>
          </w:tcPr>
          <w:p w14:paraId="48395D1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整车采用单发技术，上装所需动力均来自底盘发动机；</w:t>
            </w:r>
          </w:p>
        </w:tc>
      </w:tr>
      <w:tr w14:paraId="5A65B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326FF1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552" w:type="pct"/>
            <w:noWrap w:val="0"/>
            <w:vAlign w:val="center"/>
          </w:tcPr>
          <w:p w14:paraId="79F13E0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水箱总容积≥4m³，水箱应采用不锈钢材质；</w:t>
            </w:r>
          </w:p>
        </w:tc>
      </w:tr>
      <w:tr w14:paraId="7550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2A405B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4552" w:type="pct"/>
            <w:noWrap w:val="0"/>
            <w:vAlign w:val="center"/>
          </w:tcPr>
          <w:p w14:paraId="54E6EEA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垃圾箱容积≥9m³，垃圾箱应采用不锈钢材质；</w:t>
            </w:r>
          </w:p>
        </w:tc>
      </w:tr>
      <w:tr w14:paraId="19FB7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89C17C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552" w:type="pct"/>
            <w:noWrap w:val="0"/>
            <w:vAlign w:val="center"/>
          </w:tcPr>
          <w:p w14:paraId="1C1CC24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最大清扫宽度≥3.5m；</w:t>
            </w:r>
          </w:p>
        </w:tc>
      </w:tr>
      <w:tr w14:paraId="21776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6383784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4552" w:type="pct"/>
            <w:noWrap w:val="0"/>
            <w:vAlign w:val="center"/>
          </w:tcPr>
          <w:p w14:paraId="312A6B7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后置吸扫，具备高速清扫功能，作业速度≥60km/h。</w:t>
            </w:r>
          </w:p>
        </w:tc>
      </w:tr>
      <w:tr w14:paraId="521B5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1DF58E8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4552" w:type="pct"/>
            <w:noWrap w:val="0"/>
            <w:vAlign w:val="center"/>
          </w:tcPr>
          <w:p w14:paraId="7D96975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后吸口工作宽度≥2000mm；</w:t>
            </w:r>
          </w:p>
        </w:tc>
      </w:tr>
      <w:tr w14:paraId="6451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04726D3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552" w:type="pct"/>
            <w:noWrap w:val="0"/>
            <w:vAlign w:val="center"/>
          </w:tcPr>
          <w:p w14:paraId="753B193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后置吸扫垃圾吸管直径≥210mm；</w:t>
            </w:r>
          </w:p>
        </w:tc>
      </w:tr>
      <w:tr w14:paraId="5321D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35110B3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4552" w:type="pct"/>
            <w:noWrap w:val="0"/>
            <w:vAlign w:val="center"/>
          </w:tcPr>
          <w:p w14:paraId="19AA736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整车采用“中置两扫盘+后置垃圾收集装置”的整体布置方式；</w:t>
            </w:r>
          </w:p>
        </w:tc>
      </w:tr>
      <w:tr w14:paraId="02885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447" w:type="pct"/>
            <w:noWrap w:val="0"/>
            <w:vAlign w:val="center"/>
          </w:tcPr>
          <w:p w14:paraId="2119A24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4552" w:type="pct"/>
            <w:noWrap w:val="0"/>
            <w:vAlign w:val="center"/>
          </w:tcPr>
          <w:p w14:paraId="49CB1A8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整车两侧应各具备单盘刷清扫装置，盘刷直径大于等于1m，盘刷应能单边作业。该装置应采用油缸调节地面接触压力，同时应具有避障功能，减少机具的损坏；</w:t>
            </w:r>
          </w:p>
        </w:tc>
      </w:tr>
      <w:tr w14:paraId="217E6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shd w:val="clear" w:color="auto" w:fill="auto"/>
            <w:noWrap w:val="0"/>
            <w:vAlign w:val="center"/>
          </w:tcPr>
          <w:p w14:paraId="499F6D8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4552" w:type="pct"/>
            <w:shd w:val="clear" w:color="auto" w:fill="auto"/>
            <w:noWrap w:val="0"/>
            <w:vAlign w:val="center"/>
          </w:tcPr>
          <w:p w14:paraId="1ABA8BA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风机应采用马达直接驱动；不接受链条或皮带驱动。</w:t>
            </w:r>
          </w:p>
        </w:tc>
      </w:tr>
      <w:tr w14:paraId="6A29F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shd w:val="clear" w:color="auto" w:fill="auto"/>
            <w:noWrap w:val="0"/>
            <w:vAlign w:val="center"/>
          </w:tcPr>
          <w:p w14:paraId="4D1B401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4552" w:type="pct"/>
            <w:shd w:val="clear" w:color="auto" w:fill="auto"/>
            <w:noWrap w:val="0"/>
            <w:vAlign w:val="center"/>
          </w:tcPr>
          <w:p w14:paraId="1FA9FD0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后置垃圾收集装置，内置长滚刷，保证清扫车在高速清扫时的清扫质量。</w:t>
            </w:r>
          </w:p>
        </w:tc>
      </w:tr>
      <w:tr w14:paraId="07A2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shd w:val="clear" w:color="auto" w:fill="auto"/>
            <w:noWrap w:val="0"/>
            <w:vAlign w:val="center"/>
          </w:tcPr>
          <w:p w14:paraId="354C12B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4552" w:type="pct"/>
            <w:shd w:val="clear" w:color="auto" w:fill="auto"/>
            <w:noWrap w:val="0"/>
            <w:vAlign w:val="center"/>
          </w:tcPr>
          <w:p w14:paraId="56236F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后置垃圾收集装置内滚刷应具有车速随动功能，还应具备接地压力自动调节。</w:t>
            </w:r>
          </w:p>
        </w:tc>
      </w:tr>
      <w:tr w14:paraId="388D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shd w:val="clear" w:color="auto" w:fill="auto"/>
            <w:noWrap w:val="0"/>
            <w:vAlign w:val="center"/>
          </w:tcPr>
          <w:p w14:paraId="2BAB476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4552" w:type="pct"/>
            <w:shd w:val="clear" w:color="auto" w:fill="auto"/>
            <w:noWrap w:val="0"/>
            <w:vAlign w:val="center"/>
          </w:tcPr>
          <w:p w14:paraId="7E8A4C7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应配备垃圾箱自清洁功能。</w:t>
            </w:r>
          </w:p>
        </w:tc>
      </w:tr>
      <w:tr w14:paraId="1517F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525D40B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4552" w:type="pct"/>
            <w:shd w:val="clear" w:color="auto" w:fill="auto"/>
            <w:noWrap w:val="0"/>
            <w:vAlign w:val="center"/>
          </w:tcPr>
          <w:p w14:paraId="63C5077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驾驶室内应具有控制箱、智能控制器。</w:t>
            </w:r>
          </w:p>
        </w:tc>
      </w:tr>
      <w:tr w14:paraId="66EB9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3A21F90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4552" w:type="pct"/>
            <w:shd w:val="clear" w:color="auto" w:fill="auto"/>
            <w:noWrap w:val="0"/>
            <w:vAlign w:val="center"/>
          </w:tcPr>
          <w:p w14:paraId="4B8FCCA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整车应具备应急操作系统。后面自带防撞包。</w:t>
            </w:r>
          </w:p>
        </w:tc>
      </w:tr>
      <w:tr w14:paraId="76DD0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447" w:type="pct"/>
            <w:noWrap w:val="0"/>
            <w:vAlign w:val="center"/>
          </w:tcPr>
          <w:p w14:paraId="5A213DA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4552" w:type="pct"/>
            <w:shd w:val="clear" w:color="auto" w:fill="auto"/>
            <w:noWrap w:val="0"/>
            <w:vAlign w:val="center"/>
          </w:tcPr>
          <w:p w14:paraId="24EA4F2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整车应具备拓展功能，可以选装前置滚刷、前置雪铲等，前输出功率大于等于60kw。</w:t>
            </w:r>
          </w:p>
        </w:tc>
      </w:tr>
      <w:tr w14:paraId="79065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447" w:type="pct"/>
            <w:noWrap w:val="0"/>
            <w:vAlign w:val="center"/>
          </w:tcPr>
          <w:p w14:paraId="67AA542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4552" w:type="pct"/>
            <w:noWrap w:val="0"/>
            <w:vAlign w:val="center"/>
          </w:tcPr>
          <w:p w14:paraId="721BCC7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配一套前置滚刷参数为：滚刷宽度≥3600mm,滚刷直径≥810mm,最大转速≥400rpm,最大工作摆角≥30°。</w:t>
            </w:r>
          </w:p>
        </w:tc>
      </w:tr>
      <w:tr w14:paraId="468B7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7" w:type="pct"/>
            <w:noWrap w:val="0"/>
            <w:vAlign w:val="center"/>
          </w:tcPr>
          <w:p w14:paraId="0418E51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4552" w:type="pct"/>
            <w:noWrap w:val="0"/>
            <w:vAlign w:val="center"/>
          </w:tcPr>
          <w:p w14:paraId="334D8C9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随车提供二台套侧扫、后滚扫刷毛。</w:t>
            </w:r>
          </w:p>
        </w:tc>
      </w:tr>
    </w:tbl>
    <w:p w14:paraId="1160F3FF">
      <w:pPr>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755FAE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二、防撞车技术性能指标一览表</w:t>
      </w:r>
    </w:p>
    <w:tbl>
      <w:tblPr>
        <w:tblStyle w:val="14"/>
        <w:tblW w:w="5019" w:type="pct"/>
        <w:tblInd w:w="0" w:type="dxa"/>
        <w:tblLayout w:type="autofit"/>
        <w:tblCellMar>
          <w:top w:w="0" w:type="dxa"/>
          <w:left w:w="0" w:type="dxa"/>
          <w:bottom w:w="0" w:type="dxa"/>
          <w:right w:w="0" w:type="dxa"/>
        </w:tblCellMar>
      </w:tblPr>
      <w:tblGrid>
        <w:gridCol w:w="2600"/>
        <w:gridCol w:w="5748"/>
      </w:tblGrid>
      <w:tr w14:paraId="7849EB96">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8BEBD3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E3F2AD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防撞缓冲车技术参数要求</w:t>
            </w:r>
          </w:p>
        </w:tc>
      </w:tr>
      <w:tr w14:paraId="172DF07D">
        <w:tblPrEx>
          <w:tblCellMar>
            <w:top w:w="0" w:type="dxa"/>
            <w:left w:w="0" w:type="dxa"/>
            <w:bottom w:w="0" w:type="dxa"/>
            <w:right w:w="0" w:type="dxa"/>
          </w:tblCellMar>
        </w:tblPrEx>
        <w:trPr>
          <w:trHeight w:val="1351"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BCB6A1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A749FE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投标车辆符合国家《机动车运行安全技术条件》，产品为国家发改委或工业和信息化部《车辆生产企业及产品公告》产品。产品具有3C认证。车辆颜色为工程黄色。</w:t>
            </w:r>
          </w:p>
        </w:tc>
      </w:tr>
      <w:tr w14:paraId="5C486326">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6B06CF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C6EA02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采用江淮、东风或同档次及以上底盘。</w:t>
            </w:r>
          </w:p>
          <w:p w14:paraId="6CF63CA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应采用排半驾驶室、配有冷暖空调、多功能方向盘、ABS刹车。</w:t>
            </w:r>
          </w:p>
        </w:tc>
      </w:tr>
      <w:tr w14:paraId="5886205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025D45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发动机排量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0697D9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≥4.0L</w:t>
            </w:r>
          </w:p>
        </w:tc>
      </w:tr>
      <w:tr w14:paraId="2061C21A">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E9C8D7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发动机功率</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D9C773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≥143kW</w:t>
            </w:r>
          </w:p>
        </w:tc>
      </w:tr>
      <w:tr w14:paraId="3D949B2A">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2D0327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燃油类型</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3D55B3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柴油</w:t>
            </w:r>
          </w:p>
        </w:tc>
      </w:tr>
      <w:tr w14:paraId="28263DB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2DC006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最高车速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C7F788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≥105km/h</w:t>
            </w:r>
          </w:p>
        </w:tc>
      </w:tr>
      <w:tr w14:paraId="079070E5">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24734A2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总质量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061B46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≤12395kg</w:t>
            </w:r>
          </w:p>
        </w:tc>
      </w:tr>
      <w:tr w14:paraId="20018019">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E86A5E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整备质量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C82F5C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≥12000kg</w:t>
            </w:r>
          </w:p>
        </w:tc>
      </w:tr>
      <w:tr w14:paraId="634D27D9">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051271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轴距</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79C18C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≥3900mm</w:t>
            </w:r>
          </w:p>
        </w:tc>
      </w:tr>
      <w:tr w14:paraId="4C8D5413">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739061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1F602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≥7500*2450*2950mm</w:t>
            </w:r>
          </w:p>
        </w:tc>
      </w:tr>
      <w:tr w14:paraId="0EC1C275">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E77104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配重</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03B9E4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采用车厢整体配重非块状配重（提供车厢配重照片）</w:t>
            </w:r>
          </w:p>
        </w:tc>
      </w:tr>
      <w:tr w14:paraId="53659B2E">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7AEDF2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预警安全引导装置</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545F18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高亮LED箭头板+爆闪灯,高亮LED箭头板≤16只（提供车辆灯光照片）</w:t>
            </w:r>
          </w:p>
        </w:tc>
      </w:tr>
      <w:tr w14:paraId="1D9DFC01">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E51D2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防撞缓冲等级</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1639181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2.0T-100km/h及2.27T-100km/h</w:t>
            </w:r>
          </w:p>
        </w:tc>
      </w:tr>
      <w:tr w14:paraId="17E796FB">
        <w:tblPrEx>
          <w:tblCellMar>
            <w:top w:w="0" w:type="dxa"/>
            <w:left w:w="0" w:type="dxa"/>
            <w:bottom w:w="0" w:type="dxa"/>
            <w:right w:w="0" w:type="dxa"/>
          </w:tblCellMar>
        </w:tblPrEx>
        <w:trPr>
          <w:trHeight w:val="910"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A4C498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碰撞报告要求</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6D6D84D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提供2.0T-100km/h正碰和2.27T-100km/h等级正碰、偏碰、斜碰三个角度共4次实车足尺碰撞测试报告</w:t>
            </w:r>
          </w:p>
        </w:tc>
      </w:tr>
      <w:tr w14:paraId="71B7B6FB">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5CB6944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防撞缓冲垫外形尺寸</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01C7417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≥3100*2100*650mm（不含安装结构）</w:t>
            </w:r>
          </w:p>
        </w:tc>
      </w:tr>
      <w:tr w14:paraId="21E118C6">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45D4CF6A">
            <w:pPr>
              <w:jc w:val="both"/>
              <w:rPr>
                <w:rFonts w:hint="eastAsia" w:ascii="宋体" w:hAnsi="宋体" w:eastAsia="宋体" w:cs="宋体"/>
                <w:sz w:val="21"/>
                <w:szCs w:val="21"/>
                <w:lang w:val="en-US" w:eastAsia="zh-CN"/>
              </w:rPr>
            </w:pPr>
          </w:p>
          <w:p w14:paraId="5BB0B016">
            <w:pPr>
              <w:jc w:val="both"/>
              <w:rPr>
                <w:rFonts w:hint="eastAsia" w:ascii="宋体" w:hAnsi="宋体" w:eastAsia="宋体" w:cs="宋体"/>
                <w:sz w:val="21"/>
                <w:szCs w:val="21"/>
                <w:lang w:val="en-US" w:eastAsia="zh-CN"/>
              </w:rPr>
            </w:pPr>
          </w:p>
          <w:p w14:paraId="0CBD77B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防撞缓冲垫结构形式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BF12A8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具有双层防撞结构，配备迎撞板，防撞垫外部对称安装8根弧形铝管，轻微撞击，仅需更换外层结构，方便维修；外壳采用轻质铝合金材料制成，中间填充有航空级铝合金蜂窝吸能材料，车厢部位需有上下楼梯，方便施工工具取放（提供车厢整体照片）</w:t>
            </w:r>
          </w:p>
        </w:tc>
      </w:tr>
      <w:tr w14:paraId="1B864F1F">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F5FD46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防撞缓冲垫性能</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2318D52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1.防撞缓冲垫具有两级吸能功效，可满足低速撞击下外部零部件具有快速替换功能。</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2.在碰撞过程中，防撞缓冲垫所有吸能材料和变形部件均被有效包裹在防撞缓冲垫内，不准许任何材料飞溅到其他相邻车道的情况。</w:t>
            </w:r>
          </w:p>
        </w:tc>
      </w:tr>
      <w:tr w14:paraId="2D25EB11">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0006B0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防撞缓冲垫动力系统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562065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独立电动液压动力单元</w:t>
            </w:r>
          </w:p>
        </w:tc>
      </w:tr>
      <w:tr w14:paraId="3E007F68">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2665B1B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防撞缓冲垫翻转方式</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AA4C5C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双油缸液压翻转，可在行驶过程中在驾驶室进行操控</w:t>
            </w:r>
          </w:p>
        </w:tc>
      </w:tr>
      <w:tr w14:paraId="32C0D742">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5A8866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防撞缓冲垫和灯架翻转</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7E81D3F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0-180度，可折叠置于车厢上方（提供照片佐证）</w:t>
            </w:r>
          </w:p>
        </w:tc>
      </w:tr>
      <w:tr w14:paraId="1FBA6C13">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7F6554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工作时行驶速度</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0FF8BF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≥70km/h（防撞垫打开状态）</w:t>
            </w:r>
          </w:p>
        </w:tc>
      </w:tr>
      <w:tr w14:paraId="54147A95">
        <w:tblPrEx>
          <w:tblCellMar>
            <w:top w:w="0" w:type="dxa"/>
            <w:left w:w="0" w:type="dxa"/>
            <w:bottom w:w="0" w:type="dxa"/>
            <w:right w:w="0" w:type="dxa"/>
          </w:tblCellMar>
        </w:tblPrEx>
        <w:trPr>
          <w:trHeight w:val="2235"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AB33D0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防闯入智能预警系统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53C9045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以及时提醒上游车辆司机注意安全，变道行驶。向作业现场发出预警信号同时手环震动预警，提醒作业人员及时避让。保证施工人员及司乘人员安全，可同时探测3车道，系统配备爆闪灯，高音喇叭，有效提醒过往车辆避让。</w:t>
            </w:r>
          </w:p>
          <w:p w14:paraId="669F224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探测距离：毫米波雷达检测250m预警区域</w:t>
            </w:r>
          </w:p>
        </w:tc>
      </w:tr>
      <w:tr w14:paraId="1B3ADA57">
        <w:tblPrEx>
          <w:tblCellMar>
            <w:top w:w="0" w:type="dxa"/>
            <w:left w:w="0" w:type="dxa"/>
            <w:bottom w:w="0" w:type="dxa"/>
            <w:right w:w="0" w:type="dxa"/>
          </w:tblCellMar>
        </w:tblPrEx>
        <w:trPr>
          <w:trHeight w:val="46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13DA86D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太阳能充电系统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6420D15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配备太阳能充电系统，能够给显示屏和箭头指示灯供电</w:t>
            </w:r>
          </w:p>
        </w:tc>
      </w:tr>
      <w:tr w14:paraId="77745674">
        <w:tblPrEx>
          <w:tblCellMar>
            <w:top w:w="0" w:type="dxa"/>
            <w:left w:w="0" w:type="dxa"/>
            <w:bottom w:w="0" w:type="dxa"/>
            <w:right w:w="0" w:type="dxa"/>
          </w:tblCellMar>
        </w:tblPrEx>
        <w:trPr>
          <w:trHeight w:val="823"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3AAAFC6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行车记录仪、倒车影像、高杆照明灯</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60EA09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车辆配有行车记录仪和倒车影像及4路监控摄像（10寸屏幕）及高杆照明灯</w:t>
            </w:r>
          </w:p>
        </w:tc>
      </w:tr>
      <w:tr w14:paraId="1006284F">
        <w:tblPrEx>
          <w:tblCellMar>
            <w:top w:w="0" w:type="dxa"/>
            <w:left w:w="0" w:type="dxa"/>
            <w:bottom w:w="0" w:type="dxa"/>
            <w:right w:w="0" w:type="dxa"/>
          </w:tblCellMar>
        </w:tblPrEx>
        <w:trPr>
          <w:trHeight w:val="1794"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6936680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视频监控系统</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40C33EC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符合JT/T794 GB/T19056 JT/T883 6路AHD视频监控，前后左右4路监控，车道预警；支持车道偏离、车距过近、碰撞等危险的驾驶行为预警并上传平台取证，具有GPS+北斗定位功能，可实现在手机上查看车辆位置及现场视频，有录像和回放功能。</w:t>
            </w:r>
          </w:p>
        </w:tc>
      </w:tr>
      <w:tr w14:paraId="5F579211">
        <w:tblPrEx>
          <w:tblCellMar>
            <w:top w:w="0" w:type="dxa"/>
            <w:left w:w="0" w:type="dxa"/>
            <w:bottom w:w="0" w:type="dxa"/>
            <w:right w:w="0" w:type="dxa"/>
          </w:tblCellMar>
        </w:tblPrEx>
        <w:trPr>
          <w:trHeight w:val="1351"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0AA85F5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C4E9B3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防撞车被撞后，供应商应免费协助办理保险理赔，防撞车发生事故，需在12小时内完成更换原厂防撞包，维修期间免费提供备用车辆供使用方使用</w:t>
            </w:r>
          </w:p>
        </w:tc>
      </w:tr>
      <w:tr w14:paraId="50729F58">
        <w:tblPrEx>
          <w:tblCellMar>
            <w:top w:w="0" w:type="dxa"/>
            <w:left w:w="0" w:type="dxa"/>
            <w:bottom w:w="0" w:type="dxa"/>
            <w:right w:w="0" w:type="dxa"/>
          </w:tblCellMar>
        </w:tblPrEx>
        <w:trPr>
          <w:trHeight w:val="1378" w:hRule="atLeast"/>
        </w:trPr>
        <w:tc>
          <w:tcPr>
            <w:tcW w:w="1557" w:type="pct"/>
            <w:tcBorders>
              <w:top w:val="single" w:color="auto" w:sz="4" w:space="0"/>
              <w:left w:val="single" w:color="auto" w:sz="4" w:space="0"/>
              <w:bottom w:val="single" w:color="auto" w:sz="4" w:space="0"/>
              <w:right w:val="single" w:color="auto" w:sz="4" w:space="0"/>
            </w:tcBorders>
            <w:noWrap w:val="0"/>
            <w:vAlign w:val="center"/>
          </w:tcPr>
          <w:p w14:paraId="718C937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预警精灵</w:t>
            </w:r>
          </w:p>
        </w:tc>
        <w:tc>
          <w:tcPr>
            <w:tcW w:w="3442" w:type="pct"/>
            <w:tcBorders>
              <w:top w:val="single" w:color="auto" w:sz="4" w:space="0"/>
              <w:left w:val="single" w:color="auto" w:sz="4" w:space="0"/>
              <w:bottom w:val="single" w:color="auto" w:sz="4" w:space="0"/>
              <w:right w:val="single" w:color="auto" w:sz="4" w:space="0"/>
            </w:tcBorders>
            <w:noWrap w:val="0"/>
            <w:vAlign w:val="center"/>
          </w:tcPr>
          <w:p w14:paraId="395476E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具有提前2公里智能预警导航播报功能，施工作业点或事故发生点自动上传主流地图，占道施工精灵9个，事故预警精灵6个。</w:t>
            </w:r>
          </w:p>
        </w:tc>
      </w:tr>
    </w:tbl>
    <w:p w14:paraId="4EB61121">
      <w:pPr>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5C00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三、技术服务范围及验收标准</w:t>
      </w:r>
    </w:p>
    <w:p w14:paraId="75E39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1.车辆规格性能均应符合或优于本标书的要求且为“零公里”新车，交货时每辆车须带≥50升燃油。</w:t>
      </w:r>
    </w:p>
    <w:p w14:paraId="799C15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2.提供厂家使用说明书及维修手册1套。</w:t>
      </w:r>
    </w:p>
    <w:p w14:paraId="602C0A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3.出示厂家检验报告及合格证明。</w:t>
      </w:r>
    </w:p>
    <w:p w14:paraId="03603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4.外观上灯光和仪表应灵敏、完整、清晰、准确，整机涂漆光泽均匀、无油漆脱落锈蚀、碰伤，附具齐全完整。</w:t>
      </w:r>
    </w:p>
    <w:p w14:paraId="2E0A4E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5.各部件性能可靠，无渗漏，无异响，转动灵活，制动良好。</w:t>
      </w:r>
    </w:p>
    <w:p w14:paraId="57C09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6.验收期限：交货后一周内。</w:t>
      </w:r>
    </w:p>
    <w:p w14:paraId="444D2F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7.提供到货天数：90天（合同签订后90天内）</w:t>
      </w:r>
    </w:p>
    <w:p w14:paraId="2D3A4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8.提供交货前办理相关天数：90天（合同签订后90天内）</w:t>
      </w:r>
    </w:p>
    <w:p w14:paraId="70FBF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四、培训要求基本服务要求</w:t>
      </w:r>
    </w:p>
    <w:p w14:paraId="597854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1.车辆（设备）安全操作规范、安全操作程序、用途、结构及维护和保养方法；</w:t>
      </w:r>
    </w:p>
    <w:p w14:paraId="7DDC7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2.指导需方操作人员进行模拟操作及对不同事故的处理；</w:t>
      </w:r>
    </w:p>
    <w:p w14:paraId="57F10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3.培训计划：完善的培训计划，不少于1天的理论和实际操作培训，保证参训人员熟练操作，懂得日常维保及维修，熟悉各部件功能，能够发现故障，能够准确与厂家技术人员进行技术沟通的能力。</w:t>
      </w:r>
    </w:p>
    <w:p w14:paraId="6ACFD9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五、质保期及售后服务</w:t>
      </w:r>
    </w:p>
    <w:p w14:paraId="5233A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1.设备（易损件除外）质保期不少于2年；若厂家公开承诺质保期更长的，质保期从其承诺；质保期自设备验收合格之日起计。</w:t>
      </w:r>
    </w:p>
    <w:p w14:paraId="44AC0F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2.在质保期内，接到买方服务信息后，2个小时内应做出明确回复，24小时内到达现场，产生一切费用由卖方承担，72小时内处理完毕。</w:t>
      </w:r>
    </w:p>
    <w:p w14:paraId="4EEB0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3.质保期内的维修工时及材料费用、维修人员的差旅费、宿费等由卖方承担。</w:t>
      </w:r>
    </w:p>
    <w:p w14:paraId="2FEC7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4.在质保期内，如设备或零部件因非人力因素出现故障而造成短期停用，则质保期和免费维修期相应顺延。</w:t>
      </w:r>
    </w:p>
    <w:p w14:paraId="488371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5.质保期外出现故障时，卖方应按质保期内时效规定提供维修服务，以优惠价格收取材料费。及人工费。</w:t>
      </w:r>
    </w:p>
    <w:p w14:paraId="6202B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七、其他要求</w:t>
      </w:r>
    </w:p>
    <w:p w14:paraId="026707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1.车辆配全套保养、维修专用工具，该项费用综合计入总报价中；</w:t>
      </w:r>
    </w:p>
    <w:p w14:paraId="7256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宋体" w:hAnsi="宋体" w:eastAsia="宋体" w:cs="宋体"/>
          <w:sz w:val="21"/>
          <w:szCs w:val="21"/>
          <w:lang w:val="en-US" w:eastAsia="zh-CN"/>
        </w:rPr>
        <w:t>2.配备随机及满足车辆正常使用需要的备品、备件，该项费用综合计入投标总报价中。</w:t>
      </w:r>
      <w:r>
        <w:rPr>
          <w:rFonts w:hint="eastAsia" w:ascii="宋体" w:hAnsi="宋体" w:eastAsia="宋体" w:cs="宋体"/>
          <w:sz w:val="21"/>
          <w:szCs w:val="21"/>
        </w:rPr>
        <w:t xml:space="preserve"> </w:t>
      </w:r>
      <w: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914_WPSOffice_Level1"/>
      <w:bookmarkStart w:id="82" w:name="_Toc27552_WPSOffice_Level1"/>
      <w:bookmarkStart w:id="83" w:name="_Toc17394_WPSOffice_Level1"/>
      <w:bookmarkStart w:id="84" w:name="_Toc5145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11424_WPSOffice_Level1"/>
      <w:bookmarkStart w:id="92" w:name="_Toc23368_WPSOffice_Level1"/>
      <w:bookmarkStart w:id="93" w:name="_Toc6353_WPSOffice_Level1"/>
      <w:bookmarkStart w:id="94" w:name="_Toc30529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4728_WPSOffice_Level1"/>
      <w:bookmarkStart w:id="101" w:name="_Toc25965_WPSOffice_Level1"/>
      <w:bookmarkStart w:id="102" w:name="_Toc29085_WPSOffice_Level1"/>
      <w:bookmarkStart w:id="103"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23744_WPSOffice_Level1"/>
      <w:bookmarkStart w:id="105" w:name="_Toc10608_WPSOffice_Level1"/>
      <w:bookmarkStart w:id="106" w:name="_Toc1896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9006_WPSOffice_Level1"/>
      <w:bookmarkStart w:id="110" w:name="_Toc19601_WPSOffice_Level1"/>
      <w:bookmarkStart w:id="111" w:name="_Toc1578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27403_WPSOffice_Level1"/>
      <w:bookmarkStart w:id="119" w:name="_Toc32648_WPSOffice_Level1"/>
      <w:bookmarkStart w:id="120" w:name="_Toc25804_WPSOffice_Level1"/>
      <w:bookmarkStart w:id="121" w:name="_Toc30273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765_WPSOffice_Level1"/>
      <w:bookmarkStart w:id="129" w:name="_Toc1687_WPSOffice_Level1"/>
      <w:bookmarkStart w:id="130" w:name="_Toc18312_WPSOffice_Level1"/>
      <w:bookmarkStart w:id="131" w:name="_Toc29399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32350_WPSOffice_Level1"/>
      <w:bookmarkStart w:id="134" w:name="_Toc8695_WPSOffice_Level1"/>
      <w:bookmarkStart w:id="135" w:name="_Toc14563_WPSOffice_Level1"/>
      <w:bookmarkStart w:id="136" w:name="_Toc18668_WPSOffice_Level1"/>
      <w:bookmarkStart w:id="137" w:name="_Toc12530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jc w:val="righ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jc w:val="righ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jc w:val="right"/>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w:t>
      </w:r>
      <w:r>
        <w:rPr>
          <w:rFonts w:ascii="Times New Roman" w:hAnsi="Times New Roman" w:cs="Times New Roman"/>
          <w:szCs w:val="21"/>
        </w:rPr>
        <w:t>《中华人民共和国民法典》及相关法律法规的规定</w:t>
      </w:r>
      <w:r>
        <w:rPr>
          <w:rFonts w:hint="eastAsia" w:ascii="宋体" w:hAnsi="宋体" w:eastAsia="宋体" w:cs="宋体"/>
          <w:szCs w:val="21"/>
        </w:rPr>
        <w:t>。</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w:t>
      </w:r>
      <w:r>
        <w:rPr>
          <w:rFonts w:hint="eastAsia" w:ascii="宋体" w:hAnsi="宋体" w:eastAsia="宋体" w:cs="宋体"/>
          <w:szCs w:val="21"/>
          <w:lang w:eastAsia="zh-CN"/>
        </w:rPr>
        <w:t>、</w:t>
      </w:r>
      <w:r>
        <w:rPr>
          <w:rFonts w:hint="eastAsia" w:ascii="宋体" w:hAnsi="宋体" w:eastAsia="宋体" w:cs="宋体"/>
          <w:szCs w:val="21"/>
        </w:rPr>
        <w:t>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24530_WPSOffice_Level1"/>
      <w:bookmarkStart w:id="143" w:name="_Toc15186_WPSOffice_Level1"/>
      <w:bookmarkStart w:id="144" w:name="_Toc24567_WPSOffice_Level1"/>
      <w:bookmarkStart w:id="145" w:name="_Toc32085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35031F24">
      <w:pPr>
        <w:jc w:val="righ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1179ED8">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31445_WPSOffice_Level1"/>
      <w:bookmarkStart w:id="149" w:name="_Toc22815_WPSOffice_Level1"/>
      <w:bookmarkStart w:id="150" w:name="_Toc10436_WPSOffice_Level1"/>
      <w:bookmarkStart w:id="151"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1452_WPSOffice_Level1"/>
      <w:bookmarkStart w:id="155" w:name="_Toc5072_WPSOffice_Level1"/>
      <w:bookmarkStart w:id="156" w:name="_Toc18547_WPSOffice_Level1"/>
      <w:bookmarkStart w:id="157" w:name="_Toc3772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3893_WPSOffice_Level1"/>
      <w:bookmarkStart w:id="160" w:name="_Toc9267_WPSOffice_Level1"/>
      <w:bookmarkStart w:id="161" w:name="_Toc5403_WPSOffice_Level1"/>
      <w:bookmarkStart w:id="162" w:name="_Toc30712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3B29E4"/>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37C21"/>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6E3E49"/>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910B15"/>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6D3939"/>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2036</Words>
  <Characters>2270</Characters>
  <Lines>141</Lines>
  <Paragraphs>39</Paragraphs>
  <TotalTime>37</TotalTime>
  <ScaleCrop>false</ScaleCrop>
  <LinksUpToDate>false</LinksUpToDate>
  <CharactersWithSpaces>2448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2026-06-10T09:06:41Z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04AD1A96818C498DBBB9F20A4E84780E_13</vt:lpwstr>
  </property>
  <property fmtid="{D5CDD505-2E9C-101B-9397-08002B2CF9AE}" pid="4" name="KSOTemplateDocerSaveRecord">
    <vt:lpwstr>eyJoZGlkIjoiODQ1N2I3OGFmYzhhZmVlYzE5NzU4OTRlOWE3OTk4OWYiLCJ1c2VySWQiOiIzMTExOTYxMzUifQ==</vt:lpwstr>
  </property>
</Properties>
</file>