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5.22绿化综合养护车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5</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22</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6496_WPSOffice_Level2"/>
      <w:bookmarkStart w:id="3" w:name="_Toc525632585"/>
      <w:bookmarkStart w:id="4" w:name="_Toc10395_WPSOffice_Level2"/>
      <w:bookmarkStart w:id="5" w:name="_Toc13871"/>
      <w:bookmarkStart w:id="6" w:name="_Toc24354_WPSOffice_Level2"/>
      <w:bookmarkStart w:id="7" w:name="_Toc12765"/>
      <w:bookmarkStart w:id="8" w:name="_Toc4489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5.22绿化综合养护车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用于</w:t>
      </w:r>
      <w:r>
        <w:rPr>
          <w:rFonts w:hint="eastAsia" w:ascii="Times New Roman" w:hAnsi="Times New Roman" w:cs="Times New Roman"/>
          <w:szCs w:val="22"/>
          <w:u w:val="single"/>
          <w:lang w:val="en-US" w:eastAsia="zh-CN"/>
        </w:rPr>
        <w:t>修剪高速公路中央分隔带绿植（具有粉碎、收集、储存一体功能）、边坡绿化及高枝等</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8367_WPSOffice_Level2"/>
      <w:bookmarkStart w:id="10" w:name="_Toc8128_WPSOffice_Level2"/>
      <w:bookmarkStart w:id="11" w:name="_Toc18453"/>
      <w:bookmarkStart w:id="12" w:name="_Toc23266_WPSOffice_Level2"/>
      <w:bookmarkStart w:id="13" w:name="_Toc17858_WPSOffice_Level2"/>
      <w:bookmarkStart w:id="14" w:name="_Toc525632586"/>
      <w:bookmarkStart w:id="15" w:name="_Toc10274"/>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w:t>
      </w:r>
      <w:r>
        <w:rPr>
          <w:rFonts w:hint="eastAsia" w:ascii="Times New Roman" w:hAnsi="Times New Roman" w:cs="Times New Roman"/>
          <w:szCs w:val="22"/>
          <w:u w:val="single"/>
          <w:lang w:val="en-US" w:eastAsia="zh-CN"/>
        </w:rPr>
        <w:t>绿化综合养护车</w:t>
      </w:r>
      <w:r>
        <w:rPr>
          <w:rFonts w:hint="eastAsia" w:ascii="Times New Roman" w:hAnsi="Times New Roman" w:cs="Times New Roman"/>
          <w:szCs w:val="22"/>
          <w:highlight w:val="none"/>
          <w:u w:val="single"/>
          <w:lang w:val="en-US" w:eastAsia="zh-CN"/>
        </w:rPr>
        <w:t>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170</w:t>
      </w:r>
      <w:r>
        <w:rPr>
          <w:rFonts w:hint="eastAsia" w:ascii="Times New Roman" w:hAnsi="Times New Roman" w:cs="Times New Roman"/>
          <w:szCs w:val="22"/>
          <w:highlight w:val="none"/>
          <w:u w:val="single"/>
          <w:lang w:val="en-US" w:eastAsia="zh-CN"/>
        </w:rPr>
        <w:t>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30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6388"/>
      <w:bookmarkStart w:id="20" w:name="_Toc29516_WPSOffice_Level2"/>
      <w:bookmarkStart w:id="21" w:name="_Toc31673_WPSOffice_Level2"/>
      <w:bookmarkStart w:id="22" w:name="_Toc22379_WPSOffice_Level2"/>
      <w:bookmarkStart w:id="23" w:name="_Toc525632587"/>
      <w:bookmarkStart w:id="24" w:name="_Toc3714"/>
      <w:bookmarkStart w:id="25" w:name="_Toc1622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5666_WPSOffice_Level2"/>
      <w:bookmarkStart w:id="27" w:name="_Toc4109_WPSOffice_Level2"/>
      <w:bookmarkStart w:id="28" w:name="_Toc525632588"/>
      <w:bookmarkStart w:id="29" w:name="_Toc4751"/>
      <w:bookmarkStart w:id="30" w:name="_Toc2996_WPSOffice_Level2"/>
      <w:bookmarkStart w:id="31" w:name="_Toc29452_WPSOffice_Level2"/>
      <w:bookmarkStart w:id="32" w:name="_Toc1994"/>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29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5</w:t>
      </w:r>
      <w:r>
        <w:rPr>
          <w:rFonts w:hint="eastAsia" w:ascii="Times New Roman" w:hAnsi="Times New Roman"/>
          <w:highlight w:val="none"/>
        </w:rPr>
        <w:t>月</w:t>
      </w:r>
      <w:r>
        <w:rPr>
          <w:rFonts w:hint="eastAsia" w:ascii="Times New Roman" w:hAnsi="Times New Roman"/>
          <w:highlight w:val="none"/>
          <w:lang w:val="en-US" w:eastAsia="zh-CN"/>
        </w:rPr>
        <w:t>28</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0572_WPSOffice_Level2"/>
      <w:bookmarkStart w:id="38" w:name="_Toc26829"/>
      <w:bookmarkStart w:id="39" w:name="_Toc525632592"/>
      <w:bookmarkStart w:id="40" w:name="_Toc28571_WPSOffice_Level2"/>
      <w:bookmarkStart w:id="41" w:name="_Toc14943_WPSOffice_Level2"/>
      <w:bookmarkStart w:id="42" w:name="_Toc8501"/>
      <w:bookmarkStart w:id="43" w:name="_Toc321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22</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无</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26656972"/>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26656976"/>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26656988"/>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26656994"/>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11FA24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指标响应备注页码索引，以便查找证明材料。</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w:t>
      </w:r>
      <w:r>
        <w:rPr>
          <w:rFonts w:hint="eastAsia" w:ascii="Times New Roman" w:hAnsi="Times New Roman" w:cs="Times New Roman"/>
          <w:szCs w:val="21"/>
          <w:u w:val="single"/>
        </w:rPr>
        <w:t xml:space="preserve"> </w:t>
      </w:r>
      <w:r>
        <w:rPr>
          <w:rFonts w:hint="eastAsia" w:ascii="宋体" w:hAnsi="宋体" w:eastAsia="宋体" w:cs="宋体"/>
          <w:szCs w:val="21"/>
          <w:u w:val="single"/>
          <w:lang w:val="en-US" w:eastAsia="zh-CN"/>
        </w:rPr>
        <w:t>整车不低于1年</w:t>
      </w:r>
      <w:r>
        <w:rPr>
          <w:rFonts w:hint="eastAsia" w:ascii="Times New Roman" w:hAnsi="Times New Roman" w:cs="Times New Roman"/>
          <w:szCs w:val="21"/>
          <w:u w:val="single"/>
        </w:rPr>
        <w:t>（</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bookmarkStart w:id="166" w:name="_GoBack"/>
      <w:bookmarkEnd w:id="166"/>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12</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12</w:t>
      </w:r>
      <w:r>
        <w:rPr>
          <w:rFonts w:hint="eastAsia" w:ascii="宋体" w:hAnsi="宋体" w:eastAsia="宋体" w:cs="宋体"/>
          <w:kern w:val="0"/>
          <w:szCs w:val="21"/>
        </w:rPr>
        <w:t>个月）甲方将剩余的保留金无息退还给乙方。</w:t>
      </w:r>
    </w:p>
    <w:p w14:paraId="193B2DA0">
      <w:pPr>
        <w:pStyle w:val="5"/>
      </w:pPr>
    </w:p>
    <w:p w14:paraId="645E5931">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7"/>
        <w:rPr>
          <w:rFonts w:asciiTheme="minorEastAsia" w:hAnsiTheme="minorEastAsia" w:cstheme="minorEastAsia"/>
          <w:szCs w:val="21"/>
        </w:rPr>
      </w:pPr>
    </w:p>
    <w:p w14:paraId="6B00AAE2">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7"/>
        <w:rPr>
          <w:rFonts w:asciiTheme="minorEastAsia" w:hAnsiTheme="minorEastAsia" w:cstheme="minorEastAsia"/>
          <w:szCs w:val="21"/>
        </w:rPr>
      </w:pPr>
    </w:p>
    <w:p w14:paraId="35803A3F">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7"/>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5809C580">
      <w:pPr>
        <w:widowControl/>
        <w:spacing w:line="360" w:lineRule="auto"/>
        <w:ind w:firstLine="422" w:firstLineChars="200"/>
        <w:textAlignment w:val="baseline"/>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1.项目概况</w:t>
      </w:r>
    </w:p>
    <w:p w14:paraId="703E286B">
      <w:pPr>
        <w:keepNext w:val="0"/>
        <w:keepLines w:val="0"/>
        <w:widowControl/>
        <w:suppressLineNumbers w:val="0"/>
        <w:ind w:firstLine="420" w:firstLineChars="200"/>
        <w:jc w:val="left"/>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本项目位于安徽省境内，采购人</w:t>
      </w:r>
      <w:r>
        <w:rPr>
          <w:rFonts w:hint="eastAsia" w:ascii="宋体" w:hAnsi="宋体" w:eastAsia="宋体" w:cs="宋体"/>
          <w:snapToGrid w:val="0"/>
          <w:color w:val="000000"/>
          <w:kern w:val="0"/>
          <w:sz w:val="21"/>
          <w:szCs w:val="21"/>
          <w:lang w:val="en-US" w:eastAsia="zh-CN"/>
        </w:rPr>
        <w:t>根据业务需要，拟采购1辆</w:t>
      </w:r>
      <w:r>
        <w:rPr>
          <w:rFonts w:hint="eastAsia" w:hAnsi="宋体" w:eastAsia="宋体" w:cs="Times New Roman"/>
          <w:snapToGrid w:val="0"/>
          <w:kern w:val="0"/>
          <w:sz w:val="21"/>
          <w:szCs w:val="21"/>
          <w:lang w:val="en-US" w:eastAsia="zh-CN" w:bidi="ar-SA"/>
        </w:rPr>
        <w:t>双臂双回收型</w:t>
      </w:r>
      <w:r>
        <w:rPr>
          <w:rFonts w:hint="eastAsia" w:ascii="宋体" w:hAnsi="宋体" w:eastAsia="宋体" w:cs="宋体"/>
          <w:snapToGrid w:val="0"/>
          <w:color w:val="000000"/>
          <w:kern w:val="0"/>
          <w:sz w:val="21"/>
          <w:szCs w:val="21"/>
          <w:lang w:val="en-US" w:eastAsia="zh-CN"/>
        </w:rPr>
        <w:t>绿化综合养护车</w:t>
      </w:r>
      <w:r>
        <w:rPr>
          <w:rFonts w:hint="eastAsia" w:ascii="宋体" w:hAnsi="宋体" w:eastAsia="宋体" w:cs="Times New Roman"/>
          <w:color w:val="000000"/>
          <w:kern w:val="2"/>
          <w:sz w:val="21"/>
          <w:szCs w:val="21"/>
          <w:lang w:val="en-US" w:eastAsia="zh-CN" w:bidi="ar-SA"/>
        </w:rPr>
        <w:t>设备，主要用于修剪高速公路中央分隔带绿植（具有粉碎、收集、储存一体功能）、边坡绿化及高枝等功能。</w:t>
      </w:r>
    </w:p>
    <w:p w14:paraId="184C46CE">
      <w:pPr>
        <w:widowControl/>
        <w:spacing w:line="360" w:lineRule="auto"/>
        <w:ind w:firstLine="442" w:firstLineChars="200"/>
        <w:textAlignment w:val="baseline"/>
        <w:rPr>
          <w:rFonts w:hint="eastAsia" w:ascii="宋体" w:hAnsi="宋体" w:eastAsia="宋体" w:cs="Times New Roman"/>
          <w:b/>
          <w:color w:val="000000"/>
          <w:sz w:val="22"/>
          <w:szCs w:val="22"/>
          <w:lang w:val="en-US" w:eastAsia="zh-CN"/>
        </w:rPr>
      </w:pPr>
      <w:r>
        <w:rPr>
          <w:rFonts w:hint="eastAsia" w:ascii="宋体" w:hAnsi="宋体" w:eastAsia="宋体" w:cs="Times New Roman"/>
          <w:b/>
          <w:bCs/>
          <w:color w:val="000000"/>
          <w:kern w:val="2"/>
          <w:sz w:val="22"/>
          <w:szCs w:val="22"/>
          <w:highlight w:val="none"/>
          <w:lang w:val="en-US" w:eastAsia="zh-CN" w:bidi="ar-SA"/>
        </w:rPr>
        <w:t>2.</w:t>
      </w:r>
      <w:r>
        <w:rPr>
          <w:rFonts w:hint="eastAsia" w:ascii="宋体" w:hAnsi="宋体" w:eastAsia="宋体" w:cs="Times New Roman"/>
          <w:b/>
          <w:color w:val="000000"/>
          <w:sz w:val="22"/>
          <w:szCs w:val="22"/>
        </w:rPr>
        <w:t>供货要求</w:t>
      </w:r>
    </w:p>
    <w:p w14:paraId="304B32BE">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2.1供应商负责供应设备所需的全部部件及相应辅材配件的整套装备车辆。</w:t>
      </w:r>
    </w:p>
    <w:p w14:paraId="77645A12">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2.2供应商负责货物到货地点的全部运输，包括装卸等。</w:t>
      </w:r>
    </w:p>
    <w:p w14:paraId="00496794">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2.3本项目合同签订后30天内完成供货任务（如有特殊原因，供货时间以采购人另行通知为准）。</w:t>
      </w:r>
    </w:p>
    <w:p w14:paraId="651CEFBF">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2.4供货地点：安徽省内，具体地址以采购人通知为准。</w:t>
      </w:r>
    </w:p>
    <w:p w14:paraId="4F77BE57">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宋体"/>
          <w:szCs w:val="21"/>
          <w:lang w:val="en-US" w:eastAsia="zh-CN"/>
        </w:rPr>
        <w:t>2.5车辆上牌工作由供货商负责办理，相关费用由供货商承担。</w:t>
      </w:r>
    </w:p>
    <w:p w14:paraId="34045A2D">
      <w:pPr>
        <w:widowControl/>
        <w:adjustRightInd w:val="0"/>
        <w:snapToGrid w:val="0"/>
        <w:spacing w:line="360" w:lineRule="auto"/>
        <w:ind w:firstLine="420" w:firstLineChars="200"/>
        <w:textAlignment w:val="baseline"/>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2.6本项目采购的车辆应为免征税车辆，如需缴纳</w:t>
      </w:r>
      <w:r>
        <w:rPr>
          <w:rFonts w:hint="eastAsia" w:ascii="宋体" w:hAnsi="宋体" w:eastAsia="宋体" w:cs="宋体"/>
          <w:color w:val="auto"/>
          <w:sz w:val="21"/>
          <w:szCs w:val="21"/>
        </w:rPr>
        <w:t>购置税</w:t>
      </w:r>
      <w:r>
        <w:rPr>
          <w:rFonts w:hint="eastAsia" w:ascii="宋体" w:hAnsi="宋体" w:eastAsia="宋体" w:cs="宋体"/>
          <w:color w:val="auto"/>
          <w:sz w:val="21"/>
          <w:szCs w:val="21"/>
          <w:lang w:val="en-US" w:eastAsia="zh-CN"/>
        </w:rPr>
        <w:t>将</w:t>
      </w:r>
      <w:r>
        <w:rPr>
          <w:rFonts w:hint="eastAsia" w:ascii="宋体" w:hAnsi="宋体" w:cs="宋体"/>
          <w:color w:val="auto"/>
          <w:sz w:val="21"/>
          <w:szCs w:val="21"/>
          <w:lang w:val="en-US" w:eastAsia="zh-CN"/>
        </w:rPr>
        <w:t>由供货商承担。所供</w:t>
      </w:r>
      <w:r>
        <w:rPr>
          <w:rFonts w:ascii="Times New Roman" w:hAnsi="Times New Roman" w:eastAsia="宋体" w:cs="Times New Roman"/>
          <w:szCs w:val="21"/>
        </w:rPr>
        <w:t>车辆</w:t>
      </w:r>
      <w:r>
        <w:rPr>
          <w:rFonts w:hint="eastAsia" w:ascii="Times New Roman" w:hAnsi="Times New Roman" w:eastAsia="宋体" w:cs="Times New Roman"/>
          <w:szCs w:val="21"/>
          <w:lang w:val="en-US" w:eastAsia="zh-CN"/>
        </w:rPr>
        <w:t>有整车公告，</w:t>
      </w:r>
      <w:r>
        <w:rPr>
          <w:rFonts w:ascii="Times New Roman" w:hAnsi="Times New Roman" w:eastAsia="宋体" w:cs="Times New Roman"/>
          <w:szCs w:val="21"/>
        </w:rPr>
        <w:t>为工信部《车辆生产企业及产品》</w:t>
      </w:r>
      <w:r>
        <w:rPr>
          <w:rFonts w:hint="eastAsia" w:ascii="Times New Roman" w:hAnsi="Times New Roman" w:eastAsia="宋体" w:cs="Times New Roman"/>
          <w:szCs w:val="21"/>
          <w:lang w:val="en-US" w:eastAsia="zh-CN"/>
        </w:rPr>
        <w:t>绿化修剪车类</w:t>
      </w:r>
      <w:r>
        <w:rPr>
          <w:rFonts w:ascii="Times New Roman" w:hAnsi="Times New Roman" w:eastAsia="宋体" w:cs="Times New Roman"/>
          <w:szCs w:val="21"/>
        </w:rPr>
        <w:t>公告，所投车辆的技术参数和外形结构与工信部《车辆生产企业及产品》公告一致合法上牌</w:t>
      </w:r>
      <w:r>
        <w:rPr>
          <w:rFonts w:hint="eastAsia" w:ascii="Times New Roman" w:hAnsi="Times New Roman" w:eastAsia="宋体" w:cs="Times New Roman"/>
          <w:szCs w:val="21"/>
          <w:lang w:val="en-US" w:eastAsia="zh-CN"/>
        </w:rPr>
        <w:t>。</w:t>
      </w:r>
    </w:p>
    <w:p w14:paraId="50A579D3">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cs="宋体"/>
          <w:color w:val="auto"/>
          <w:sz w:val="21"/>
          <w:szCs w:val="21"/>
          <w:lang w:val="en-US" w:eastAsia="zh-CN"/>
        </w:rPr>
        <w:t>2.7车辆</w:t>
      </w:r>
      <w:r>
        <w:rPr>
          <w:rFonts w:hint="eastAsia" w:ascii="宋体" w:hAnsi="宋体" w:eastAsia="宋体" w:cs="宋体"/>
          <w:color w:val="auto"/>
          <w:sz w:val="21"/>
          <w:szCs w:val="21"/>
        </w:rPr>
        <w:t>保险</w:t>
      </w:r>
      <w:r>
        <w:rPr>
          <w:rFonts w:hint="eastAsia" w:ascii="宋体" w:hAnsi="宋体" w:eastAsia="宋体" w:cs="宋体"/>
          <w:color w:val="auto"/>
          <w:sz w:val="21"/>
          <w:szCs w:val="21"/>
          <w:lang w:val="en-US" w:eastAsia="zh-CN"/>
        </w:rPr>
        <w:t>费</w:t>
      </w:r>
      <w:r>
        <w:rPr>
          <w:rFonts w:hint="eastAsia" w:cs="宋体"/>
          <w:color w:val="auto"/>
          <w:kern w:val="0"/>
          <w:szCs w:val="21"/>
        </w:rPr>
        <w:t>由采购人</w:t>
      </w:r>
      <w:r>
        <w:rPr>
          <w:rFonts w:hint="eastAsia" w:cs="宋体"/>
          <w:color w:val="auto"/>
          <w:kern w:val="0"/>
          <w:szCs w:val="21"/>
          <w:lang w:val="en-US"/>
        </w:rPr>
        <w:t>自行购买</w:t>
      </w:r>
      <w:r>
        <w:rPr>
          <w:rFonts w:hint="eastAsia" w:cs="宋体"/>
          <w:color w:val="auto"/>
          <w:kern w:val="0"/>
          <w:szCs w:val="21"/>
          <w:lang w:val="en-US" w:eastAsia="zh-CN"/>
        </w:rPr>
        <w:t>，供货商配合</w:t>
      </w:r>
      <w:r>
        <w:rPr>
          <w:rFonts w:hint="eastAsia" w:cs="宋体"/>
          <w:color w:val="auto"/>
          <w:kern w:val="0"/>
          <w:szCs w:val="21"/>
        </w:rPr>
        <w:t>。</w:t>
      </w:r>
    </w:p>
    <w:p w14:paraId="565A4389">
      <w:pPr>
        <w:widowControl/>
        <w:adjustRightInd w:val="0"/>
        <w:snapToGrid w:val="0"/>
        <w:spacing w:line="360" w:lineRule="auto"/>
        <w:ind w:firstLine="422" w:firstLineChars="200"/>
        <w:textAlignment w:val="baseline"/>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3.设备安装及调试要求</w:t>
      </w:r>
    </w:p>
    <w:p w14:paraId="109E7C95">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3.1供应商负责本项目采购的设备有关所有安装及调试工作。</w:t>
      </w:r>
    </w:p>
    <w:p w14:paraId="266AA255">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3.2本项目在供货进场后2天内完成设备安装及调试工作，满足正常使用条件。</w:t>
      </w:r>
    </w:p>
    <w:p w14:paraId="6C29B831">
      <w:pPr>
        <w:widowControl/>
        <w:spacing w:line="360" w:lineRule="auto"/>
        <w:ind w:firstLine="442" w:firstLineChars="200"/>
        <w:textAlignment w:val="baseline"/>
        <w:rPr>
          <w:rFonts w:hint="eastAsia" w:ascii="宋体" w:hAnsi="宋体" w:eastAsia="宋体" w:cs="Times New Roman"/>
          <w:b/>
          <w:color w:val="000000"/>
          <w:sz w:val="22"/>
          <w:szCs w:val="22"/>
          <w:lang w:val="en-US" w:eastAsia="zh-CN"/>
        </w:rPr>
      </w:pPr>
      <w:r>
        <w:rPr>
          <w:rFonts w:hint="eastAsia" w:ascii="宋体" w:hAnsi="宋体" w:eastAsia="宋体" w:cs="Times New Roman"/>
          <w:b/>
          <w:color w:val="000000"/>
          <w:sz w:val="22"/>
          <w:szCs w:val="22"/>
          <w:lang w:val="en-US" w:eastAsia="zh-CN"/>
        </w:rPr>
        <w:t>4.</w:t>
      </w:r>
      <w:r>
        <w:rPr>
          <w:rFonts w:hint="eastAsia" w:ascii="宋体" w:hAnsi="宋体" w:eastAsia="宋体" w:cs="Times New Roman"/>
          <w:b/>
          <w:color w:val="000000"/>
          <w:sz w:val="22"/>
          <w:szCs w:val="22"/>
        </w:rPr>
        <w:t>验收</w:t>
      </w:r>
      <w:r>
        <w:rPr>
          <w:rFonts w:hint="eastAsia" w:ascii="宋体" w:hAnsi="宋体" w:eastAsia="宋体" w:cs="Times New Roman"/>
          <w:b/>
          <w:color w:val="000000"/>
          <w:sz w:val="22"/>
          <w:szCs w:val="22"/>
          <w:lang w:val="en-US" w:eastAsia="zh-CN"/>
        </w:rPr>
        <w:t>要求</w:t>
      </w:r>
    </w:p>
    <w:p w14:paraId="5D6F2477">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4.1验收中发生的费用由供应商承担，验收合格报告作为申请付款的必要条件。</w:t>
      </w:r>
    </w:p>
    <w:p w14:paraId="7ECC8E9E">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4.2设备质量标准应满足国家行业现行标准，设备生产的产品应满足现行业规范及采购人要求标准。</w:t>
      </w:r>
    </w:p>
    <w:p w14:paraId="1F9C5F5A">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cs="宋体"/>
          <w:color w:val="auto"/>
          <w:kern w:val="0"/>
          <w:szCs w:val="21"/>
          <w:lang w:val="en-US" w:eastAsia="zh-CN"/>
        </w:rPr>
        <w:t>4.3验收时</w:t>
      </w:r>
      <w:r>
        <w:rPr>
          <w:rFonts w:hint="eastAsia" w:ascii="宋体" w:hAnsi="宋体" w:cs="宋体"/>
          <w:color w:val="auto"/>
          <w:kern w:val="0"/>
          <w:szCs w:val="21"/>
        </w:rPr>
        <w:t>供应商应提供产品质量合格证书、使用说明书、维修保养手册、配件及工具等。</w:t>
      </w:r>
    </w:p>
    <w:p w14:paraId="704CEFC7">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4.4设备验收不合格，由供应商返工直至合格，有关返工、再行验收，以及给采购人造成的损失等费用由供应商承担。连续两次验收不合格的，采购人可终止合同，另行按规定选择其他供应商采购，由此带来的一切损失由供应商承担。</w:t>
      </w:r>
    </w:p>
    <w:p w14:paraId="54C9D5B7">
      <w:pPr>
        <w:spacing w:after="120" w:line="360" w:lineRule="auto"/>
        <w:ind w:left="0" w:leftChars="0" w:firstLine="442" w:firstLineChars="200"/>
        <w:jc w:val="both"/>
        <w:textAlignment w:val="baseline"/>
        <w:rPr>
          <w:rFonts w:hint="default" w:ascii="宋体" w:hAnsi="宋体" w:eastAsia="宋体" w:cs="Times New Roman"/>
          <w:b/>
          <w:color w:val="000000"/>
          <w:kern w:val="2"/>
          <w:sz w:val="22"/>
          <w:szCs w:val="22"/>
          <w:lang w:val="en-US" w:eastAsia="zh-CN" w:bidi="ar-SA"/>
        </w:rPr>
      </w:pPr>
      <w:r>
        <w:rPr>
          <w:rFonts w:hint="eastAsia" w:ascii="宋体" w:hAnsi="宋体" w:eastAsia="宋体" w:cs="Times New Roman"/>
          <w:b/>
          <w:color w:val="000000"/>
          <w:kern w:val="2"/>
          <w:sz w:val="22"/>
          <w:szCs w:val="22"/>
          <w:lang w:val="en-US" w:eastAsia="zh-CN" w:bidi="ar-SA"/>
        </w:rPr>
        <w:t>5.支付方式要求</w:t>
      </w:r>
    </w:p>
    <w:p w14:paraId="1C179511">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5.1本项目无预付款；</w:t>
      </w:r>
    </w:p>
    <w:p w14:paraId="44CFC149">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5.2本项目设备安装调试验收合格及上牌入户并收到供应商全额增值税专用发票后，采购人在30个工作日内支付至合同总价款的95%，剩余5%作为质量保证金，待质保期满后一次性支付完毕（以安装调试验收合格之日算起）。</w:t>
      </w:r>
    </w:p>
    <w:p w14:paraId="6B11E214">
      <w:pPr>
        <w:widowControl/>
        <w:adjustRightInd w:val="0"/>
        <w:snapToGrid w:val="0"/>
        <w:spacing w:line="360" w:lineRule="auto"/>
        <w:ind w:firstLine="422" w:firstLineChars="200"/>
        <w:textAlignment w:val="baseline"/>
        <w:rPr>
          <w:rFonts w:hint="default"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b/>
          <w:bCs/>
          <w:color w:val="000000"/>
          <w:kern w:val="2"/>
          <w:sz w:val="21"/>
          <w:szCs w:val="21"/>
          <w:highlight w:val="none"/>
          <w:lang w:val="en-US" w:eastAsia="zh-CN" w:bidi="ar-SA"/>
        </w:rPr>
        <w:t>6.质保要求</w:t>
      </w:r>
    </w:p>
    <w:p w14:paraId="3BCC1B09">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6.1本项目整车质保期不低于1年，质保期内的所有维修费用（包含但不限于配件费、人工费等）均由供货商承担。</w:t>
      </w:r>
    </w:p>
    <w:p w14:paraId="45F21292">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6.1质保期内整套设备出现任何质量问题（属人为破坏或自然灾害等不可抗力除外），由供应商负责全部免费（免全部工时费、材料费、管理费、财务费等）更换或维修。</w:t>
      </w:r>
    </w:p>
    <w:p w14:paraId="4F6F938E">
      <w:pPr>
        <w:widowControl/>
        <w:spacing w:line="360" w:lineRule="auto"/>
        <w:ind w:firstLine="442" w:firstLineChars="200"/>
        <w:textAlignment w:val="baseline"/>
        <w:rPr>
          <w:rFonts w:hint="eastAsia" w:ascii="宋体" w:hAnsi="宋体" w:eastAsia="宋体" w:cs="Times New Roman"/>
          <w:b/>
          <w:color w:val="000000"/>
          <w:sz w:val="22"/>
          <w:szCs w:val="22"/>
        </w:rPr>
      </w:pPr>
      <w:r>
        <w:rPr>
          <w:rFonts w:hint="eastAsia" w:ascii="宋体" w:hAnsi="宋体" w:eastAsia="宋体" w:cs="Times New Roman"/>
          <w:b/>
          <w:color w:val="000000"/>
          <w:sz w:val="22"/>
          <w:szCs w:val="22"/>
          <w:lang w:val="en-US" w:eastAsia="zh-CN"/>
        </w:rPr>
        <w:t>7.售后</w:t>
      </w:r>
      <w:r>
        <w:rPr>
          <w:rFonts w:hint="eastAsia" w:ascii="宋体" w:hAnsi="宋体" w:eastAsia="宋体" w:cs="Times New Roman"/>
          <w:b/>
          <w:color w:val="000000"/>
          <w:sz w:val="22"/>
          <w:szCs w:val="22"/>
        </w:rPr>
        <w:t>技术服务要求</w:t>
      </w:r>
    </w:p>
    <w:p w14:paraId="275718FD">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7.1供应商应对本项目提供全面的24小时的技术服务与支持。</w:t>
      </w:r>
    </w:p>
    <w:p w14:paraId="6018C8CF">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7.2质保期内接到故障处理通知后，一般故障应在2天内进行响应并排除；重大故障应在3天内响应并提出解决方案，需在5天内解决排除。</w:t>
      </w:r>
    </w:p>
    <w:p w14:paraId="32472722">
      <w:pPr>
        <w:widowControl/>
        <w:spacing w:line="360" w:lineRule="auto"/>
        <w:ind w:firstLine="442" w:firstLineChars="200"/>
        <w:textAlignment w:val="baseline"/>
        <w:rPr>
          <w:rFonts w:hint="default" w:ascii="宋体" w:hAnsi="宋体" w:eastAsia="宋体" w:cs="Times New Roman"/>
          <w:b/>
          <w:color w:val="000000"/>
          <w:sz w:val="22"/>
          <w:szCs w:val="22"/>
          <w:highlight w:val="none"/>
          <w:lang w:val="en-US" w:eastAsia="zh-CN"/>
        </w:rPr>
      </w:pPr>
      <w:r>
        <w:rPr>
          <w:rFonts w:hint="eastAsia" w:ascii="宋体" w:hAnsi="宋体" w:eastAsia="宋体" w:cs="Times New Roman"/>
          <w:b/>
          <w:color w:val="000000"/>
          <w:sz w:val="22"/>
          <w:szCs w:val="22"/>
          <w:highlight w:val="none"/>
          <w:lang w:val="en-US" w:eastAsia="zh-CN"/>
        </w:rPr>
        <w:t>8.报价说明</w:t>
      </w:r>
    </w:p>
    <w:p w14:paraId="1E655841">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8.1本项目采用全费用包干方式，供应商应根据本项目要求和现场情况，充分考虑本项目所需的设备及附属材料，以及产品运输保险保管、设备设计、设备安装、调试、试运行测试通过验收、培训、质保期免费保修维护、首保费用等所有人工、管理、财务、税金、利润等费用，如一旦成交，在本项目实施中出现任何遗漏，均由供应商免费提供，采购人不再支付任何费用。</w:t>
      </w:r>
    </w:p>
    <w:p w14:paraId="30BB1FEE">
      <w:pPr>
        <w:numPr>
          <w:ilvl w:val="0"/>
          <w:numId w:val="0"/>
        </w:numPr>
        <w:spacing w:after="120" w:line="240" w:lineRule="auto"/>
        <w:ind w:firstLine="422" w:firstLineChars="200"/>
        <w:jc w:val="both"/>
        <w:textAlignment w:val="baseline"/>
        <w:rPr>
          <w:rFonts w:hint="eastAsia" w:ascii="宋体" w:hAnsi="宋体" w:eastAsia="宋体" w:cs="Times New Roman"/>
          <w:b/>
          <w:bCs/>
          <w:color w:val="000000"/>
          <w:kern w:val="2"/>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250E4F9">
      <w:pPr>
        <w:numPr>
          <w:ilvl w:val="0"/>
          <w:numId w:val="0"/>
        </w:numPr>
        <w:spacing w:after="120" w:line="240" w:lineRule="auto"/>
        <w:ind w:firstLine="422" w:firstLineChars="200"/>
        <w:jc w:val="both"/>
        <w:textAlignment w:val="baseline"/>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9.主要技术参数性能指标要求</w:t>
      </w:r>
    </w:p>
    <w:tbl>
      <w:tblPr>
        <w:tblStyle w:val="14"/>
        <w:tblpPr w:leftFromText="180" w:rightFromText="180" w:vertAnchor="text" w:horzAnchor="page" w:tblpXSpec="center" w:tblpY="581"/>
        <w:tblOverlap w:val="never"/>
        <w:tblW w:w="4999" w:type="pct"/>
        <w:jc w:val="center"/>
        <w:tblLayout w:type="autofit"/>
        <w:tblCellMar>
          <w:top w:w="0" w:type="dxa"/>
          <w:left w:w="108" w:type="dxa"/>
          <w:bottom w:w="0" w:type="dxa"/>
          <w:right w:w="108" w:type="dxa"/>
        </w:tblCellMar>
      </w:tblPr>
      <w:tblGrid>
        <w:gridCol w:w="1235"/>
        <w:gridCol w:w="7285"/>
      </w:tblGrid>
      <w:tr w14:paraId="3FE1CEB7">
        <w:tblPrEx>
          <w:tblCellMar>
            <w:top w:w="0" w:type="dxa"/>
            <w:left w:w="108" w:type="dxa"/>
            <w:bottom w:w="0" w:type="dxa"/>
            <w:right w:w="108" w:type="dxa"/>
          </w:tblCellMar>
        </w:tblPrEx>
        <w:trPr>
          <w:trHeight w:val="358" w:hRule="atLeast"/>
          <w:jc w:val="center"/>
        </w:trPr>
        <w:tc>
          <w:tcPr>
            <w:tcW w:w="725" w:type="pct"/>
            <w:tcBorders>
              <w:top w:val="single" w:color="auto" w:sz="4" w:space="0"/>
              <w:left w:val="single" w:color="000000" w:sz="4" w:space="0"/>
              <w:bottom w:val="single" w:color="auto" w:sz="4" w:space="0"/>
              <w:right w:val="single" w:color="auto" w:sz="4" w:space="0"/>
            </w:tcBorders>
            <w:vAlign w:val="center"/>
          </w:tcPr>
          <w:p w14:paraId="4742CA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w:t>
            </w:r>
          </w:p>
        </w:tc>
        <w:tc>
          <w:tcPr>
            <w:tcW w:w="4274" w:type="pct"/>
            <w:tcBorders>
              <w:top w:val="single" w:color="auto" w:sz="4" w:space="0"/>
              <w:left w:val="nil"/>
              <w:bottom w:val="single" w:color="auto" w:sz="4" w:space="0"/>
              <w:right w:val="single" w:color="auto" w:sz="4" w:space="0"/>
            </w:tcBorders>
            <w:vAlign w:val="center"/>
          </w:tcPr>
          <w:p w14:paraId="57C894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技术性能指标要求</w:t>
            </w:r>
          </w:p>
        </w:tc>
      </w:tr>
      <w:tr w14:paraId="14288158">
        <w:tblPrEx>
          <w:tblCellMar>
            <w:top w:w="0" w:type="dxa"/>
            <w:left w:w="108" w:type="dxa"/>
            <w:bottom w:w="0" w:type="dxa"/>
            <w:right w:w="108" w:type="dxa"/>
          </w:tblCellMar>
        </w:tblPrEx>
        <w:trPr>
          <w:trHeight w:val="688" w:hRule="atLeast"/>
          <w:jc w:val="center"/>
        </w:trPr>
        <w:tc>
          <w:tcPr>
            <w:tcW w:w="725" w:type="pct"/>
            <w:vMerge w:val="restart"/>
            <w:tcBorders>
              <w:top w:val="single" w:color="auto" w:sz="4" w:space="0"/>
              <w:left w:val="single" w:color="000000" w:sz="4" w:space="0"/>
              <w:right w:val="single" w:color="auto" w:sz="4" w:space="0"/>
            </w:tcBorders>
            <w:vAlign w:val="center"/>
          </w:tcPr>
          <w:p w14:paraId="0FE474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基本要求</w:t>
            </w:r>
          </w:p>
        </w:tc>
        <w:tc>
          <w:tcPr>
            <w:tcW w:w="4274" w:type="pct"/>
            <w:tcBorders>
              <w:top w:val="single" w:color="auto" w:sz="4" w:space="0"/>
              <w:left w:val="nil"/>
              <w:bottom w:val="single" w:color="auto" w:sz="4" w:space="0"/>
              <w:right w:val="single" w:color="auto" w:sz="4" w:space="0"/>
            </w:tcBorders>
            <w:vAlign w:val="center"/>
          </w:tcPr>
          <w:p w14:paraId="07A5BF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1.用途:用于修剪高速公路中分隔带绿植（具有平面和侧面修剪，同步粉碎、收集、储存一体功能）、边坡绿化及高枝等功能。</w:t>
            </w:r>
          </w:p>
        </w:tc>
      </w:tr>
      <w:tr w14:paraId="55375439">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766B81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264DDD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2.产品名称：绿化综合养护车</w:t>
            </w:r>
          </w:p>
        </w:tc>
      </w:tr>
      <w:tr w14:paraId="4BC4D369">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62E5B0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35366DC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3.数量：1辆</w:t>
            </w:r>
          </w:p>
        </w:tc>
      </w:tr>
      <w:tr w14:paraId="02CF299C">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27EAB6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0BE2D9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4.质保期:整车不低于1年</w:t>
            </w:r>
          </w:p>
        </w:tc>
      </w:tr>
      <w:tr w14:paraId="01C4F0E4">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08B37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4888B57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5.整车品牌及型号：</w:t>
            </w:r>
            <w:r>
              <w:rPr>
                <w:rFonts w:hint="eastAsia" w:ascii="宋体" w:hAnsi="宋体" w:eastAsia="宋体" w:cs="宋体"/>
                <w:color w:val="000000" w:themeColor="text1"/>
                <w:szCs w:val="21"/>
                <w:lang w:val="en-US" w:eastAsia="zh-CN"/>
                <w14:textFill>
                  <w14:solidFill>
                    <w14:schemeClr w14:val="tx1"/>
                  </w14:solidFill>
                </w14:textFill>
              </w:rPr>
              <w:t>本条由供应商根据投标设备自行填写</w:t>
            </w:r>
          </w:p>
        </w:tc>
      </w:tr>
      <w:tr w14:paraId="3B43F4EC">
        <w:tblPrEx>
          <w:tblCellMar>
            <w:top w:w="0" w:type="dxa"/>
            <w:left w:w="108" w:type="dxa"/>
            <w:bottom w:w="0" w:type="dxa"/>
            <w:right w:w="108" w:type="dxa"/>
          </w:tblCellMar>
        </w:tblPrEx>
        <w:trPr>
          <w:trHeight w:val="358" w:hRule="atLeast"/>
          <w:jc w:val="center"/>
        </w:trPr>
        <w:tc>
          <w:tcPr>
            <w:tcW w:w="725" w:type="pct"/>
            <w:vMerge w:val="continue"/>
            <w:tcBorders>
              <w:left w:val="single" w:color="000000" w:sz="4" w:space="0"/>
              <w:right w:val="single" w:color="auto" w:sz="4" w:space="0"/>
            </w:tcBorders>
            <w:vAlign w:val="center"/>
          </w:tcPr>
          <w:p w14:paraId="0EA5C5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nil"/>
              <w:bottom w:val="single" w:color="auto" w:sz="4" w:space="0"/>
              <w:right w:val="single" w:color="auto" w:sz="4" w:space="0"/>
            </w:tcBorders>
            <w:vAlign w:val="center"/>
          </w:tcPr>
          <w:p w14:paraId="13268C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6.车身</w:t>
            </w:r>
            <w:r>
              <w:rPr>
                <w:rFonts w:hint="eastAsia" w:ascii="宋体" w:hAnsi="宋体" w:eastAsia="宋体" w:cs="宋体"/>
                <w:color w:val="000000" w:themeColor="text1"/>
                <w:szCs w:val="21"/>
                <w:lang w:val="en-US" w:eastAsia="zh-CN"/>
                <w14:textFill>
                  <w14:solidFill>
                    <w14:schemeClr w14:val="tx1"/>
                  </w14:solidFill>
                </w14:textFill>
              </w:rPr>
              <w:t>颜色：工程黄</w:t>
            </w:r>
          </w:p>
        </w:tc>
      </w:tr>
      <w:tr w14:paraId="6787BFDB">
        <w:tblPrEx>
          <w:tblCellMar>
            <w:top w:w="0" w:type="dxa"/>
            <w:left w:w="108" w:type="dxa"/>
            <w:bottom w:w="0" w:type="dxa"/>
            <w:right w:w="108" w:type="dxa"/>
          </w:tblCellMar>
        </w:tblPrEx>
        <w:trPr>
          <w:trHeight w:val="358" w:hRule="atLeast"/>
          <w:jc w:val="center"/>
        </w:trPr>
        <w:tc>
          <w:tcPr>
            <w:tcW w:w="725" w:type="pct"/>
            <w:vMerge w:val="restart"/>
            <w:tcBorders>
              <w:top w:val="single" w:color="auto" w:sz="4" w:space="0"/>
              <w:left w:val="single" w:color="auto" w:sz="4" w:space="0"/>
              <w:right w:val="single" w:color="auto" w:sz="4" w:space="0"/>
            </w:tcBorders>
            <w:vAlign w:val="center"/>
          </w:tcPr>
          <w:p w14:paraId="0D95C8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底盘部分</w:t>
            </w:r>
          </w:p>
        </w:tc>
        <w:tc>
          <w:tcPr>
            <w:tcW w:w="4274" w:type="pct"/>
            <w:tcBorders>
              <w:top w:val="single" w:color="auto" w:sz="4" w:space="0"/>
              <w:left w:val="single" w:color="auto" w:sz="4" w:space="0"/>
              <w:bottom w:val="single" w:color="auto" w:sz="4" w:space="0"/>
              <w:right w:val="single" w:color="auto" w:sz="4" w:space="0"/>
            </w:tcBorders>
            <w:vAlign w:val="center"/>
          </w:tcPr>
          <w:p w14:paraId="319F66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1.底盘品牌：优于或同等于东风、重汽等品牌。</w:t>
            </w:r>
          </w:p>
        </w:tc>
      </w:tr>
      <w:tr w14:paraId="67258F5D">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0ECA9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ED95EA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2.底盘类型：二类</w:t>
            </w:r>
          </w:p>
        </w:tc>
      </w:tr>
      <w:tr w14:paraId="77108F82">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674C10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4A8CA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3.驱动形式：4×2</w:t>
            </w:r>
          </w:p>
        </w:tc>
      </w:tr>
      <w:tr w14:paraId="4D8A5FD3">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30CA49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32BBF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default" w:ascii="宋体" w:hAnsi="宋体" w:eastAsia="宋体" w:cs="宋体"/>
                <w:szCs w:val="21"/>
                <w:lang w:val="en-US" w:eastAsia="zh-CN"/>
              </w:rPr>
            </w:pPr>
            <w:r>
              <w:rPr>
                <w:rFonts w:hint="eastAsia" w:ascii="宋体" w:hAnsi="宋体" w:eastAsia="宋体" w:cs="宋体"/>
                <w:szCs w:val="21"/>
                <w:lang w:val="en-US" w:eastAsia="zh-CN"/>
              </w:rPr>
              <w:t>4.发动机品牌：选用国内或国际知名品牌发动机</w:t>
            </w:r>
          </w:p>
        </w:tc>
      </w:tr>
      <w:tr w14:paraId="3305B7F9">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109F8A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0960D0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5.底盘发动机功率：≥190KW柴油版</w:t>
            </w:r>
          </w:p>
        </w:tc>
      </w:tr>
      <w:tr w14:paraId="4C99F039">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076FDD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3BFA2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6.底盘排放标准：国六</w:t>
            </w:r>
          </w:p>
        </w:tc>
      </w:tr>
      <w:tr w14:paraId="085CCBA3">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3C3BC1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21C32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7.最大总质量：≥16000kg</w:t>
            </w:r>
          </w:p>
        </w:tc>
      </w:tr>
      <w:tr w14:paraId="1DA7B17A">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6EA657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B393D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8.整备质量：≥9000kg</w:t>
            </w:r>
          </w:p>
        </w:tc>
      </w:tr>
      <w:tr w14:paraId="535F4ACF">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69304E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0F1710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9.底盘配有低速行走系统，作业时可实现低速</w:t>
            </w:r>
            <w:r>
              <w:rPr>
                <w:rFonts w:hint="eastAsia" w:ascii="宋体" w:hAnsi="宋体" w:eastAsia="宋体" w:cs="宋体"/>
                <w:color w:val="000000" w:themeColor="text1"/>
                <w:szCs w:val="21"/>
                <w:lang w:val="en-US" w:eastAsia="zh-CN"/>
                <w14:textFill>
                  <w14:solidFill>
                    <w14:schemeClr w14:val="tx1"/>
                  </w14:solidFill>
                </w14:textFill>
              </w:rPr>
              <w:t>巡航</w:t>
            </w:r>
            <w:r>
              <w:rPr>
                <w:rFonts w:hint="eastAsia" w:ascii="宋体" w:hAnsi="宋体" w:eastAsia="宋体" w:cs="宋体"/>
                <w:szCs w:val="21"/>
                <w:lang w:val="en-US" w:eastAsia="zh-CN"/>
              </w:rPr>
              <w:t>速度行走。</w:t>
            </w:r>
          </w:p>
        </w:tc>
      </w:tr>
      <w:tr w14:paraId="5C71F8AF">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001954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991A7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10.最高行驶速度：≥80km/h</w:t>
            </w:r>
          </w:p>
        </w:tc>
      </w:tr>
      <w:tr w14:paraId="2379C985">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bottom w:val="single" w:color="auto" w:sz="4" w:space="0"/>
              <w:right w:val="single" w:color="auto" w:sz="4" w:space="0"/>
            </w:tcBorders>
            <w:vAlign w:val="center"/>
          </w:tcPr>
          <w:p w14:paraId="35FF3F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D3F4734">
            <w:pPr>
              <w:keepNext w:val="0"/>
              <w:keepLines w:val="0"/>
              <w:pageBreakBefore w:val="0"/>
              <w:widowControl w:val="0"/>
              <w:tabs>
                <w:tab w:val="right" w:pos="5672"/>
              </w:tabs>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11.底盘前端配有多功能挂板（包含在整车公告内），便于更换各种工况不同属具。</w:t>
            </w:r>
          </w:p>
        </w:tc>
      </w:tr>
      <w:tr w14:paraId="4F521B6A">
        <w:tblPrEx>
          <w:tblCellMar>
            <w:top w:w="0" w:type="dxa"/>
            <w:left w:w="108" w:type="dxa"/>
            <w:bottom w:w="0" w:type="dxa"/>
            <w:right w:w="108" w:type="dxa"/>
          </w:tblCellMar>
        </w:tblPrEx>
        <w:trPr>
          <w:trHeight w:val="358" w:hRule="atLeast"/>
          <w:jc w:val="center"/>
        </w:trPr>
        <w:tc>
          <w:tcPr>
            <w:tcW w:w="725" w:type="pct"/>
            <w:vMerge w:val="restart"/>
            <w:tcBorders>
              <w:top w:val="single" w:color="auto" w:sz="4" w:space="0"/>
              <w:left w:val="single" w:color="auto" w:sz="4" w:space="0"/>
              <w:bottom w:val="single" w:color="auto" w:sz="4" w:space="0"/>
              <w:right w:val="single" w:color="auto" w:sz="4" w:space="0"/>
            </w:tcBorders>
            <w:vAlign w:val="center"/>
          </w:tcPr>
          <w:p w14:paraId="3EF6B0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主要技术参数</w:t>
            </w:r>
          </w:p>
        </w:tc>
        <w:tc>
          <w:tcPr>
            <w:tcW w:w="4274" w:type="pct"/>
            <w:tcBorders>
              <w:top w:val="single" w:color="auto" w:sz="4" w:space="0"/>
              <w:left w:val="single" w:color="auto" w:sz="4" w:space="0"/>
              <w:bottom w:val="single" w:color="auto" w:sz="4" w:space="0"/>
              <w:right w:val="single" w:color="auto" w:sz="4" w:space="0"/>
            </w:tcBorders>
            <w:vAlign w:val="center"/>
          </w:tcPr>
          <w:p w14:paraId="25DE989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1.工作臂：具有双臂回收功能</w:t>
            </w:r>
          </w:p>
        </w:tc>
      </w:tr>
      <w:tr w14:paraId="16A7D83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7FC2C0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767BC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2.最大作业范围：≥5000mm</w:t>
            </w:r>
          </w:p>
        </w:tc>
      </w:tr>
      <w:tr w14:paraId="1D1EFAD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0B32A0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A925D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3.最高作业速度：≥10km/h</w:t>
            </w:r>
          </w:p>
        </w:tc>
      </w:tr>
      <w:tr w14:paraId="4870E8F8">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4D2528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BED931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4.最低作业速度：≤1km/h</w:t>
            </w:r>
          </w:p>
        </w:tc>
      </w:tr>
      <w:tr w14:paraId="3A1A5A36">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6574B8F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893F31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5.中央分隔带绿植修剪回收率：≥90%</w:t>
            </w:r>
          </w:p>
        </w:tc>
      </w:tr>
      <w:tr w14:paraId="4309A06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681E36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2F6EB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6.回收箱容积：≥8m</w:t>
            </w:r>
            <w:r>
              <w:rPr>
                <w:rFonts w:hint="eastAsia" w:ascii="宋体" w:hAnsi="宋体" w:eastAsia="宋体" w:cs="宋体"/>
                <w:szCs w:val="21"/>
                <w:vertAlign w:val="superscript"/>
                <w:lang w:val="en-US" w:eastAsia="zh-CN"/>
              </w:rPr>
              <w:t>3</w:t>
            </w:r>
          </w:p>
        </w:tc>
      </w:tr>
      <w:tr w14:paraId="6EC2137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6E12BBE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0F5D2B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7.风机风量：≥9000m</w:t>
            </w:r>
            <w:r>
              <w:rPr>
                <w:rFonts w:hint="eastAsia" w:ascii="宋体" w:hAnsi="宋体" w:eastAsia="宋体" w:cs="宋体"/>
                <w:szCs w:val="21"/>
                <w:vertAlign w:val="superscript"/>
                <w:lang w:val="en-US" w:eastAsia="zh-CN"/>
              </w:rPr>
              <w:t>3</w:t>
            </w:r>
            <w:r>
              <w:rPr>
                <w:rFonts w:hint="eastAsia" w:ascii="宋体" w:hAnsi="宋体" w:eastAsia="宋体" w:cs="宋体"/>
                <w:szCs w:val="21"/>
                <w:lang w:val="en-US" w:eastAsia="zh-CN"/>
              </w:rPr>
              <w:t>/h×2</w:t>
            </w:r>
          </w:p>
        </w:tc>
      </w:tr>
      <w:tr w14:paraId="13846BE3">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1DD147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3B1F9E5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8.风机压力：≥2800Pa×2</w:t>
            </w:r>
          </w:p>
        </w:tc>
      </w:tr>
      <w:tr w14:paraId="04FC9EF7">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3819A82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870E5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9.中央分隔带绿植修剪作业能力：≥14000m</w:t>
            </w:r>
            <w:r>
              <w:rPr>
                <w:rFonts w:hint="eastAsia" w:ascii="宋体" w:hAnsi="宋体" w:eastAsia="宋体" w:cs="宋体"/>
                <w:szCs w:val="21"/>
                <w:vertAlign w:val="superscript"/>
                <w:lang w:val="en-US" w:eastAsia="zh-CN"/>
              </w:rPr>
              <w:t>2</w:t>
            </w:r>
            <w:r>
              <w:rPr>
                <w:rFonts w:hint="eastAsia" w:ascii="宋体" w:hAnsi="宋体" w:eastAsia="宋体" w:cs="宋体"/>
                <w:szCs w:val="21"/>
                <w:lang w:val="en-US" w:eastAsia="zh-CN"/>
              </w:rPr>
              <w:t>/h</w:t>
            </w:r>
          </w:p>
        </w:tc>
      </w:tr>
      <w:tr w14:paraId="76C5E626">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142BE7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239283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10.工作臂修剪高度：≥5000mm</w:t>
            </w:r>
          </w:p>
        </w:tc>
      </w:tr>
      <w:tr w14:paraId="7A22A684">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0B3188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4442C2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11.工作臂修剪宽度：≥2000mm</w:t>
            </w:r>
          </w:p>
        </w:tc>
      </w:tr>
      <w:tr w14:paraId="2DD9A886">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53A19D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B4838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eastAsiaTheme="minorEastAsia"/>
                <w:szCs w:val="21"/>
                <w:lang w:val="en-US" w:eastAsia="zh-CN"/>
              </w:rPr>
            </w:pPr>
            <w:r>
              <w:rPr>
                <w:rFonts w:hint="eastAsia" w:ascii="宋体" w:hAnsi="宋体" w:eastAsia="宋体" w:cs="宋体"/>
                <w:szCs w:val="21"/>
                <w:lang w:val="en-US" w:eastAsia="zh-CN"/>
              </w:rPr>
              <w:t>12.树枝修剪直径：≥120mm</w:t>
            </w:r>
          </w:p>
        </w:tc>
      </w:tr>
      <w:tr w14:paraId="01C1C9D9">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095B2ED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3384AF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13.高枝修剪直径：≥180mm</w:t>
            </w:r>
          </w:p>
        </w:tc>
      </w:tr>
      <w:tr w14:paraId="651C3BEC">
        <w:tblPrEx>
          <w:tblCellMar>
            <w:top w:w="0" w:type="dxa"/>
            <w:left w:w="108" w:type="dxa"/>
            <w:bottom w:w="0" w:type="dxa"/>
            <w:right w:w="108" w:type="dxa"/>
          </w:tblCellMar>
        </w:tblPrEx>
        <w:trPr>
          <w:trHeight w:val="358" w:hRule="atLeast"/>
          <w:jc w:val="center"/>
        </w:trPr>
        <w:tc>
          <w:tcPr>
            <w:tcW w:w="725" w:type="pct"/>
            <w:vMerge w:val="continue"/>
            <w:tcBorders>
              <w:top w:val="single" w:color="auto" w:sz="4" w:space="0"/>
              <w:left w:val="single" w:color="auto" w:sz="4" w:space="0"/>
              <w:bottom w:val="single" w:color="auto" w:sz="4" w:space="0"/>
              <w:right w:val="single" w:color="auto" w:sz="4" w:space="0"/>
            </w:tcBorders>
            <w:vAlign w:val="center"/>
          </w:tcPr>
          <w:p w14:paraId="11E7C2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A9E5B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14.液压、电控等主要总成部件采用国际或国内知名品牌。</w:t>
            </w:r>
          </w:p>
        </w:tc>
      </w:tr>
      <w:tr w14:paraId="2262D474">
        <w:tblPrEx>
          <w:tblCellMar>
            <w:top w:w="0" w:type="dxa"/>
            <w:left w:w="108" w:type="dxa"/>
            <w:bottom w:w="0" w:type="dxa"/>
            <w:right w:w="108" w:type="dxa"/>
          </w:tblCellMar>
        </w:tblPrEx>
        <w:trPr>
          <w:trHeight w:val="1017" w:hRule="atLeast"/>
          <w:jc w:val="center"/>
        </w:trPr>
        <w:tc>
          <w:tcPr>
            <w:tcW w:w="725" w:type="pct"/>
            <w:vMerge w:val="restart"/>
            <w:tcBorders>
              <w:top w:val="single" w:color="auto" w:sz="4" w:space="0"/>
              <w:left w:val="single" w:color="auto" w:sz="4" w:space="0"/>
              <w:right w:val="single" w:color="auto" w:sz="4" w:space="0"/>
            </w:tcBorders>
            <w:vAlign w:val="center"/>
          </w:tcPr>
          <w:p w14:paraId="49F247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其他功能配置要求</w:t>
            </w:r>
          </w:p>
        </w:tc>
        <w:tc>
          <w:tcPr>
            <w:tcW w:w="4274" w:type="pct"/>
            <w:tcBorders>
              <w:top w:val="single" w:color="auto" w:sz="4" w:space="0"/>
              <w:left w:val="single" w:color="auto" w:sz="4" w:space="0"/>
              <w:bottom w:val="single" w:color="auto" w:sz="4" w:space="0"/>
              <w:right w:val="single" w:color="auto" w:sz="4" w:space="0"/>
            </w:tcBorders>
            <w:vAlign w:val="center"/>
          </w:tcPr>
          <w:p w14:paraId="796FB7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1.回收箱具备存储、卸料功能，对中分带的2台离心剪机具对修剪枝叶必须要有二次破碎功能，对修剪的绿植碎枝叶等垃圾可收集到箱体内，同时具备自动卸料功能。</w:t>
            </w:r>
          </w:p>
        </w:tc>
      </w:tr>
      <w:tr w14:paraId="7A8B0B6F">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1F7A45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310292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2.具有防碰撞缓冲或自动避障功能、工作臂与作业机具连接的摆动机构为快换装置，摆动角度</w:t>
            </w:r>
            <w:bookmarkStart w:id="79" w:name="OLE_LINK5"/>
            <w:r>
              <w:rPr>
                <w:rFonts w:hint="eastAsia" w:ascii="宋体" w:hAnsi="宋体" w:eastAsia="宋体" w:cs="宋体"/>
                <w:szCs w:val="21"/>
                <w:lang w:val="en-US" w:eastAsia="zh-CN"/>
              </w:rPr>
              <w:t>≥120度</w:t>
            </w:r>
            <w:bookmarkEnd w:id="79"/>
            <w:r>
              <w:rPr>
                <w:rFonts w:hint="eastAsia" w:ascii="宋体" w:hAnsi="宋体" w:eastAsia="宋体" w:cs="宋体"/>
                <w:szCs w:val="21"/>
                <w:lang w:val="en-US" w:eastAsia="zh-CN"/>
              </w:rPr>
              <w:t>、工作臂在绿化车左右侧工作时，绕主轴自动旋转角度≥180度；</w:t>
            </w:r>
          </w:p>
        </w:tc>
      </w:tr>
      <w:tr w14:paraId="4762250B">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7DDB01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B750FE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color w:val="auto"/>
                <w:szCs w:val="21"/>
                <w:lang w:val="en-US" w:eastAsia="zh-CN"/>
              </w:rPr>
              <w:t>3.可同时实现中分带绿化植物实施平头及侧面修剪作业，设置防范装置降低枝叶飞溅。驱动方式为液压驱动。作业宽度≥1.2米；最大修剪直径≥1.5厘米,最高允许作业速度≥8公里/小时。</w:t>
            </w:r>
          </w:p>
        </w:tc>
      </w:tr>
      <w:tr w14:paraId="34D8D913">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48D454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9B92A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4.作业中，机械臂水平移动距离≥1.5米，最大</w:t>
            </w:r>
            <w:bookmarkStart w:id="80" w:name="OLE_LINK2"/>
            <w:r>
              <w:rPr>
                <w:rFonts w:hint="eastAsia" w:ascii="宋体" w:hAnsi="宋体" w:eastAsia="宋体" w:cs="宋体"/>
                <w:szCs w:val="21"/>
                <w:lang w:val="en-US" w:eastAsia="zh-CN"/>
              </w:rPr>
              <w:t>作业范围≥</w:t>
            </w:r>
            <w:bookmarkEnd w:id="80"/>
            <w:r>
              <w:rPr>
                <w:rFonts w:hint="eastAsia" w:ascii="宋体" w:hAnsi="宋体" w:eastAsia="宋体" w:cs="宋体"/>
                <w:szCs w:val="21"/>
                <w:lang w:val="en-US" w:eastAsia="zh-CN"/>
              </w:rPr>
              <w:t>6米；（最大作业范围指作业机具所能达到的距整机纵向中心线的最远距离）</w:t>
            </w:r>
          </w:p>
        </w:tc>
      </w:tr>
      <w:tr w14:paraId="1C3AF152">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1DDEEF9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01B22E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5.车辆具备双机械臂同时工作，所配套2台离心剪机具的修剪刀具需采用优质钢材制造，具备良好的耐磨性和切割性能且修剪系统需具备过载保护功能，防止因遇到硬物而损坏设备。</w:t>
            </w:r>
          </w:p>
        </w:tc>
      </w:tr>
      <w:tr w14:paraId="4ED6968D">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4CF1FA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A403C2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6.设备能适应不同作业工况，保证机具在极限作业工况下的稳定运行和修剪质量；针对不同工况环境可配备不同的专用机具，实现一机多用。</w:t>
            </w:r>
          </w:p>
        </w:tc>
      </w:tr>
      <w:tr w14:paraId="42B20DCC">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428836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064FE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7.设备修剪臂能灵活完成升降和折叠功能，升降和折叠动作需平稳、准确，操作简便。</w:t>
            </w:r>
          </w:p>
        </w:tc>
      </w:tr>
      <w:tr w14:paraId="10A9D55C">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2237F1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CC409D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8.修剪刀具、旋转部件等危险性较大的功能部件需设置防护装置，防止操作人员直接接触到危险部位；车辆需具备紧急制动系统，在突发情况下能迅速停车。</w:t>
            </w:r>
          </w:p>
        </w:tc>
      </w:tr>
      <w:tr w14:paraId="72852331">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0877F5C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1ED4896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9.设备配套的修剪刀具需采用优质钢材制造，具有良好的耐磨性和切割性能，确保修剪效果整齐美观，修剪系统需具备过载保护功能，防止因遇到硬物而损坏修剪刀具。</w:t>
            </w:r>
          </w:p>
        </w:tc>
      </w:tr>
      <w:tr w14:paraId="08484718">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11BEC6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51FBFE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10.设备需配备完善的警示装置，如警示灯、警示标志等，在作业时能有效提醒过往车辆注意安全。</w:t>
            </w:r>
          </w:p>
        </w:tc>
      </w:tr>
      <w:tr w14:paraId="1822121B">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520B73E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19B80E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11.操作控制台应布局合理，操作按钮标识清晰，易于操作且具备防误操作功能，避免因操作人员失误而引发安全事故。</w:t>
            </w:r>
          </w:p>
        </w:tc>
      </w:tr>
      <w:tr w14:paraId="06DBF1E4">
        <w:tblPrEx>
          <w:tblCellMar>
            <w:top w:w="0" w:type="dxa"/>
            <w:left w:w="108" w:type="dxa"/>
            <w:bottom w:w="0" w:type="dxa"/>
            <w:right w:w="108" w:type="dxa"/>
          </w:tblCellMar>
        </w:tblPrEx>
        <w:trPr>
          <w:trHeight w:val="1346" w:hRule="atLeast"/>
          <w:jc w:val="center"/>
        </w:trPr>
        <w:tc>
          <w:tcPr>
            <w:tcW w:w="725" w:type="pct"/>
            <w:vMerge w:val="continue"/>
            <w:tcBorders>
              <w:left w:val="single" w:color="auto" w:sz="4" w:space="0"/>
              <w:right w:val="single" w:color="auto" w:sz="4" w:space="0"/>
            </w:tcBorders>
            <w:vAlign w:val="center"/>
          </w:tcPr>
          <w:p w14:paraId="4136834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D6A4E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12.车辆需配备先进的智能信息系统，能够全方位、精准地掌控车辆的油耗数据、行驶轨迹、每日运行情况以及实时视频和历史视频，加装摄像头，具备影像传输、运行工况等实时数据传输功能；预留数据配置功能接口，后期免费开放通信协议，可实现与终端用户使用的终端监控平台对接。</w:t>
            </w:r>
          </w:p>
        </w:tc>
      </w:tr>
      <w:tr w14:paraId="12677047">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20CBF1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4E0A9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13.</w:t>
            </w:r>
            <w:r>
              <w:rPr>
                <w:rFonts w:hint="eastAsia" w:ascii="宋体" w:hAnsi="宋体" w:eastAsia="宋体" w:cs="宋体"/>
                <w:color w:val="auto"/>
                <w:szCs w:val="21"/>
                <w:lang w:val="en-US" w:eastAsia="zh-CN"/>
              </w:rPr>
              <w:t>具备防侧倾自动调平功能。</w:t>
            </w:r>
          </w:p>
        </w:tc>
      </w:tr>
      <w:tr w14:paraId="736B84A3">
        <w:tblPrEx>
          <w:tblCellMar>
            <w:top w:w="0" w:type="dxa"/>
            <w:left w:w="108" w:type="dxa"/>
            <w:bottom w:w="0" w:type="dxa"/>
            <w:right w:w="108" w:type="dxa"/>
          </w:tblCellMar>
        </w:tblPrEx>
        <w:trPr>
          <w:trHeight w:val="1017" w:hRule="atLeast"/>
          <w:jc w:val="center"/>
        </w:trPr>
        <w:tc>
          <w:tcPr>
            <w:tcW w:w="725" w:type="pct"/>
            <w:vMerge w:val="continue"/>
            <w:tcBorders>
              <w:left w:val="single" w:color="auto" w:sz="4" w:space="0"/>
              <w:right w:val="single" w:color="auto" w:sz="4" w:space="0"/>
            </w:tcBorders>
            <w:vAlign w:val="center"/>
          </w:tcPr>
          <w:p w14:paraId="36B0D5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63B6EC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14.刀具配置：配备双回收离心剪用于中分隔带树木平面修剪和侧面修剪，要求器具使用刀片或锯片坚固耐磨；配备圆盘锯用于修剪高枝和边坡绿化树木；配备自动避障剪用于修剪中分带和边坡草坪；</w:t>
            </w:r>
          </w:p>
        </w:tc>
      </w:tr>
      <w:tr w14:paraId="2776F693">
        <w:tblPrEx>
          <w:tblCellMar>
            <w:top w:w="0" w:type="dxa"/>
            <w:left w:w="108" w:type="dxa"/>
            <w:bottom w:w="0" w:type="dxa"/>
            <w:right w:w="108" w:type="dxa"/>
          </w:tblCellMar>
        </w:tblPrEx>
        <w:trPr>
          <w:trHeight w:val="358" w:hRule="atLeast"/>
          <w:jc w:val="center"/>
        </w:trPr>
        <w:tc>
          <w:tcPr>
            <w:tcW w:w="725" w:type="pct"/>
            <w:vMerge w:val="continue"/>
            <w:tcBorders>
              <w:left w:val="single" w:color="auto" w:sz="4" w:space="0"/>
              <w:right w:val="single" w:color="auto" w:sz="4" w:space="0"/>
            </w:tcBorders>
            <w:vAlign w:val="center"/>
          </w:tcPr>
          <w:p w14:paraId="5960403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2F2805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15.离心剪配有长枝叶二级破碎器具。</w:t>
            </w:r>
          </w:p>
        </w:tc>
      </w:tr>
      <w:tr w14:paraId="15783B2A">
        <w:tblPrEx>
          <w:tblCellMar>
            <w:top w:w="0" w:type="dxa"/>
            <w:left w:w="108" w:type="dxa"/>
            <w:bottom w:w="0" w:type="dxa"/>
            <w:right w:w="108" w:type="dxa"/>
          </w:tblCellMar>
        </w:tblPrEx>
        <w:trPr>
          <w:trHeight w:val="688" w:hRule="atLeast"/>
          <w:jc w:val="center"/>
        </w:trPr>
        <w:tc>
          <w:tcPr>
            <w:tcW w:w="725" w:type="pct"/>
            <w:vMerge w:val="continue"/>
            <w:tcBorders>
              <w:left w:val="single" w:color="auto" w:sz="4" w:space="0"/>
              <w:right w:val="single" w:color="auto" w:sz="4" w:space="0"/>
            </w:tcBorders>
            <w:vAlign w:val="center"/>
          </w:tcPr>
          <w:p w14:paraId="0BFA743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7B810B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16.车辆配备爆闪灯、后置LED显示屏安全诱导警示灯、雷达预警及倒车影像等设施。</w:t>
            </w:r>
          </w:p>
        </w:tc>
      </w:tr>
      <w:tr w14:paraId="35A45C58">
        <w:tblPrEx>
          <w:tblCellMar>
            <w:top w:w="0" w:type="dxa"/>
            <w:left w:w="108" w:type="dxa"/>
            <w:bottom w:w="0" w:type="dxa"/>
            <w:right w:w="108" w:type="dxa"/>
          </w:tblCellMar>
        </w:tblPrEx>
        <w:trPr>
          <w:trHeight w:val="718" w:hRule="atLeast"/>
          <w:jc w:val="center"/>
        </w:trPr>
        <w:tc>
          <w:tcPr>
            <w:tcW w:w="725" w:type="pct"/>
            <w:vMerge w:val="continue"/>
            <w:tcBorders>
              <w:left w:val="single" w:color="auto" w:sz="4" w:space="0"/>
              <w:bottom w:val="single" w:color="auto" w:sz="4" w:space="0"/>
              <w:right w:val="single" w:color="auto" w:sz="4" w:space="0"/>
            </w:tcBorders>
            <w:vAlign w:val="center"/>
          </w:tcPr>
          <w:p w14:paraId="65FDD78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lang w:val="en-US" w:eastAsia="zh-CN"/>
              </w:rPr>
            </w:pPr>
          </w:p>
        </w:tc>
        <w:tc>
          <w:tcPr>
            <w:tcW w:w="4274" w:type="pct"/>
            <w:tcBorders>
              <w:top w:val="single" w:color="auto" w:sz="4" w:space="0"/>
              <w:left w:val="single" w:color="auto" w:sz="4" w:space="0"/>
              <w:bottom w:val="single" w:color="auto" w:sz="4" w:space="0"/>
              <w:right w:val="single" w:color="auto" w:sz="4" w:space="0"/>
            </w:tcBorders>
            <w:vAlign w:val="center"/>
          </w:tcPr>
          <w:p w14:paraId="4274C2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17.全车配有脚垫、座椅垫、玻璃膜贴，提供标配随车工具包含但不限于各种属具装卸工具。</w:t>
            </w:r>
          </w:p>
        </w:tc>
      </w:tr>
    </w:tbl>
    <w:p w14:paraId="60D781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81" w:name="_Toc101186772"/>
      <w:bookmarkStart w:id="82" w:name="_Toc9834_WPSOffice_Level1"/>
    </w:p>
    <w:bookmarkEnd w:id="81"/>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2"/>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3" w:name="_Toc1914_WPSOffice_Level1"/>
      <w:bookmarkStart w:id="84" w:name="_Toc27552_WPSOffice_Level1"/>
      <w:bookmarkStart w:id="85" w:name="_Toc17394_WPSOffice_Level1"/>
      <w:bookmarkStart w:id="86" w:name="_Toc5145_WPSOffice_Level1"/>
      <w:r>
        <w:rPr>
          <w:rFonts w:ascii="Times New Roman" w:hAnsi="Times New Roman" w:eastAsia="黑体" w:cs="Times New Roman"/>
          <w:sz w:val="50"/>
          <w:szCs w:val="50"/>
        </w:rPr>
        <w:t>响应文件</w:t>
      </w:r>
      <w:bookmarkEnd w:id="83"/>
      <w:bookmarkEnd w:id="84"/>
      <w:bookmarkEnd w:id="85"/>
      <w:bookmarkEnd w:id="86"/>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7" w:name="_Toc5520_WPSOffice_Level2"/>
      <w:bookmarkStart w:id="88"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7"/>
      <w:bookmarkEnd w:id="88"/>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9" w:name="_Toc20076_WPSOffice_Level2"/>
      <w:bookmarkStart w:id="90"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9"/>
      <w:bookmarkEnd w:id="90"/>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91" w:name="_Toc21974_WPSOffice_Level2"/>
      <w:bookmarkStart w:id="92" w:name="_Toc22351_WPSOffice_Level2"/>
      <w:r>
        <w:rPr>
          <w:rFonts w:ascii="Times New Roman" w:hAnsi="Times New Roman" w:eastAsia="黑体" w:cs="Times New Roman"/>
          <w:sz w:val="28"/>
          <w:szCs w:val="28"/>
        </w:rPr>
        <w:t>目录</w:t>
      </w:r>
      <w:bookmarkEnd w:id="91"/>
      <w:bookmarkEnd w:id="92"/>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3" w:name="_Toc11424_WPSOffice_Level1"/>
      <w:bookmarkStart w:id="94" w:name="_Toc30529_WPSOffice_Level1"/>
      <w:bookmarkStart w:id="95" w:name="_Toc23368_WPSOffice_Level1"/>
      <w:bookmarkStart w:id="96" w:name="_Toc6353_WPSOffice_Level1"/>
      <w:bookmarkStart w:id="97" w:name="_Toc12670_WPSOffice_Level1"/>
      <w:r>
        <w:rPr>
          <w:rFonts w:ascii="Times New Roman" w:hAnsi="Times New Roman" w:eastAsia="黑体" w:cs="Times New Roman"/>
          <w:sz w:val="24"/>
        </w:rPr>
        <w:t>一、报价函</w:t>
      </w:r>
      <w:bookmarkEnd w:id="93"/>
      <w:bookmarkEnd w:id="94"/>
      <w:bookmarkEnd w:id="95"/>
      <w:bookmarkEnd w:id="96"/>
    </w:p>
    <w:p w14:paraId="60AED60F">
      <w:pPr>
        <w:spacing w:line="440" w:lineRule="exact"/>
        <w:ind w:left="1619" w:leftChars="771"/>
        <w:rPr>
          <w:rFonts w:ascii="Times New Roman" w:hAnsi="Times New Roman" w:eastAsia="黑体" w:cs="Times New Roman"/>
          <w:sz w:val="24"/>
        </w:rPr>
      </w:pPr>
      <w:bookmarkStart w:id="98" w:name="_Toc31927_WPSOffice_Level1"/>
      <w:bookmarkStart w:id="99" w:name="_Toc32729_WPSOffice_Level1"/>
      <w:bookmarkStart w:id="100" w:name="_Toc5317_WPSOffice_Level1"/>
      <w:bookmarkStart w:id="101" w:name="_Toc21229_WPSOffice_Level1"/>
      <w:r>
        <w:rPr>
          <w:rFonts w:ascii="Times New Roman" w:hAnsi="Times New Roman" w:eastAsia="黑体" w:cs="Times New Roman"/>
          <w:sz w:val="24"/>
        </w:rPr>
        <w:t>二、法定代表人身份证明及授权委托书</w:t>
      </w:r>
      <w:bookmarkEnd w:id="98"/>
      <w:bookmarkEnd w:id="99"/>
      <w:bookmarkEnd w:id="100"/>
      <w:bookmarkEnd w:id="101"/>
    </w:p>
    <w:p w14:paraId="11A59D0A">
      <w:pPr>
        <w:spacing w:line="440" w:lineRule="exact"/>
        <w:ind w:left="1619" w:leftChars="771"/>
        <w:rPr>
          <w:rFonts w:ascii="Times New Roman" w:hAnsi="Times New Roman" w:eastAsia="黑体" w:cs="Times New Roman"/>
          <w:sz w:val="24"/>
        </w:rPr>
      </w:pPr>
      <w:bookmarkStart w:id="102" w:name="_Toc23356_WPSOffice_Level1"/>
      <w:bookmarkStart w:id="103" w:name="_Toc25965_WPSOffice_Level1"/>
      <w:bookmarkStart w:id="104" w:name="_Toc29085_WPSOffice_Level1"/>
      <w:bookmarkStart w:id="105"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2"/>
      <w:bookmarkEnd w:id="103"/>
      <w:bookmarkEnd w:id="104"/>
      <w:bookmarkEnd w:id="105"/>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6" w:name="_Toc18964_WPSOffice_Level1"/>
      <w:bookmarkStart w:id="107" w:name="_Toc10608_WPSOffice_Level1"/>
      <w:bookmarkStart w:id="108" w:name="_Toc23744_WPSOffice_Level1"/>
      <w:bookmarkStart w:id="109"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6"/>
      <w:bookmarkEnd w:id="107"/>
      <w:bookmarkEnd w:id="108"/>
      <w:bookmarkEnd w:id="109"/>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10" w:name="_Toc19601_WPSOffice_Level1"/>
      <w:bookmarkStart w:id="111" w:name="_Toc9006_WPSOffice_Level1"/>
      <w:bookmarkStart w:id="112" w:name="_Toc1578_WPSOffice_Level1"/>
      <w:bookmarkStart w:id="113" w:name="_Toc23751_WPSOffice_Level1"/>
      <w:r>
        <w:rPr>
          <w:rFonts w:hint="eastAsia" w:ascii="Times New Roman" w:hAnsi="Times New Roman" w:eastAsia="黑体" w:cs="Times New Roman"/>
          <w:sz w:val="24"/>
        </w:rPr>
        <w:t>五、</w:t>
      </w:r>
      <w:bookmarkEnd w:id="110"/>
      <w:bookmarkEnd w:id="111"/>
      <w:bookmarkEnd w:id="112"/>
      <w:bookmarkEnd w:id="113"/>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4" w:name="_Toc24082_WPSOffice_Level1"/>
      <w:bookmarkStart w:id="115" w:name="_Toc31314_WPSOffice_Level1"/>
      <w:bookmarkStart w:id="116" w:name="_Toc12459_WPSOffice_Level1"/>
      <w:bookmarkStart w:id="117"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4"/>
      <w:bookmarkEnd w:id="115"/>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8" w:name="_Toc32220_WPSOffice_Level1"/>
      <w:bookmarkStart w:id="119" w:name="_Toc20930_WPSOffice_Level1"/>
      <w:r>
        <w:rPr>
          <w:rFonts w:hint="eastAsia" w:ascii="Times New Roman" w:hAnsi="Times New Roman" w:eastAsia="黑体" w:cs="Times New Roman"/>
          <w:sz w:val="24"/>
        </w:rPr>
        <w:t>七</w:t>
      </w:r>
      <w:bookmarkEnd w:id="116"/>
      <w:bookmarkEnd w:id="117"/>
      <w:bookmarkEnd w:id="118"/>
      <w:bookmarkEnd w:id="119"/>
      <w:bookmarkStart w:id="120" w:name="_Toc25804_WPSOffice_Level1"/>
      <w:bookmarkStart w:id="121" w:name="_Toc30273_WPSOffice_Level1"/>
      <w:bookmarkStart w:id="122" w:name="_Toc27403_WPSOffice_Level1"/>
      <w:bookmarkStart w:id="123" w:name="_Toc32648_WPSOffice_Level1"/>
      <w:r>
        <w:rPr>
          <w:rFonts w:ascii="Times New Roman" w:hAnsi="Times New Roman" w:eastAsia="黑体" w:cs="Times New Roman"/>
          <w:sz w:val="24"/>
        </w:rPr>
        <w:t>、</w:t>
      </w:r>
      <w:bookmarkEnd w:id="120"/>
      <w:bookmarkEnd w:id="121"/>
      <w:bookmarkEnd w:id="122"/>
      <w:bookmarkEnd w:id="123"/>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4" w:name="_Toc23147_WPSOffice_Level1"/>
      <w:bookmarkStart w:id="125" w:name="_Toc30234_WPSOffice_Level1"/>
      <w:bookmarkStart w:id="126" w:name="_Toc32152_WPSOffice_Level1"/>
      <w:bookmarkStart w:id="127"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4"/>
      <w:bookmarkEnd w:id="125"/>
      <w:bookmarkEnd w:id="126"/>
      <w:bookmarkEnd w:id="127"/>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8" w:name="_Toc5885_WPSOffice_Level1"/>
      <w:bookmarkStart w:id="129" w:name="_Toc16988_WPSOffice_Level1"/>
      <w:r>
        <w:rPr>
          <w:rFonts w:hint="eastAsia" w:ascii="Times New Roman" w:hAnsi="Times New Roman" w:eastAsia="黑体" w:cs="Times New Roman"/>
          <w:sz w:val="24"/>
        </w:rPr>
        <w:t>九、其他材料</w:t>
      </w:r>
      <w:bookmarkEnd w:id="97"/>
      <w:bookmarkEnd w:id="128"/>
      <w:bookmarkEnd w:id="129"/>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30" w:name="_Toc29399_WPSOffice_Level1"/>
      <w:bookmarkStart w:id="131" w:name="_Toc1687_WPSOffice_Level1"/>
      <w:bookmarkStart w:id="132" w:name="_Toc2765_WPSOffice_Level1"/>
      <w:bookmarkStart w:id="133" w:name="_Toc18312_WPSOffice_Level1"/>
      <w:bookmarkStart w:id="134"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30"/>
      <w:bookmarkEnd w:id="131"/>
      <w:bookmarkEnd w:id="132"/>
      <w:bookmarkEnd w:id="133"/>
      <w:bookmarkEnd w:id="134"/>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5" w:name="_Toc14563_WPSOffice_Level1"/>
      <w:bookmarkStart w:id="136" w:name="_Toc18668_WPSOffice_Level1"/>
      <w:bookmarkStart w:id="137" w:name="_Toc8695_WPSOffice_Level1"/>
      <w:bookmarkStart w:id="138" w:name="_Toc12530_WPSOffice_Level1"/>
      <w:bookmarkStart w:id="139" w:name="_Toc32350_WPSOffice_Level1"/>
      <w:r>
        <w:rPr>
          <w:rFonts w:ascii="Times New Roman" w:hAnsi="Times New Roman" w:eastAsia="黑体" w:cs="Times New Roman"/>
          <w:sz w:val="28"/>
          <w:szCs w:val="28"/>
        </w:rPr>
        <w:t>二、法定代表人身份证明及授权委托书</w:t>
      </w:r>
      <w:bookmarkEnd w:id="135"/>
      <w:bookmarkEnd w:id="136"/>
      <w:bookmarkEnd w:id="137"/>
      <w:bookmarkEnd w:id="138"/>
      <w:bookmarkEnd w:id="139"/>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40" w:name="_Toc20803_WPSOffice_Level2"/>
      <w:bookmarkStart w:id="141" w:name="_Toc5153_WPSOffice_Level2"/>
      <w:r>
        <w:rPr>
          <w:rFonts w:ascii="Times New Roman" w:hAnsi="Times New Roman" w:eastAsia="黑体" w:cs="Times New Roman"/>
          <w:bCs/>
          <w:sz w:val="28"/>
          <w:szCs w:val="28"/>
        </w:rPr>
        <w:t>2-1 法定代表人身份证明</w:t>
      </w:r>
      <w:bookmarkEnd w:id="140"/>
      <w:bookmarkEnd w:id="141"/>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2" w:name="_Toc19768_WPSOffice_Level2"/>
      <w:bookmarkStart w:id="143" w:name="_Toc12035_WPSOffice_Level2"/>
      <w:r>
        <w:rPr>
          <w:rFonts w:ascii="Times New Roman" w:hAnsi="Times New Roman" w:eastAsia="黑体" w:cs="Times New Roman"/>
          <w:bCs/>
          <w:sz w:val="28"/>
          <w:szCs w:val="28"/>
        </w:rPr>
        <w:t>2-2 授权委托书</w:t>
      </w:r>
      <w:bookmarkEnd w:id="142"/>
      <w:bookmarkEnd w:id="143"/>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4" w:name="_Toc24530_WPSOffice_Level1"/>
      <w:bookmarkStart w:id="145" w:name="_Toc32085_WPSOffice_Level1"/>
      <w:bookmarkStart w:id="146" w:name="_Toc15186_WPSOffice_Level1"/>
      <w:bookmarkStart w:id="147" w:name="_Toc24567_WPSOffice_Level1"/>
      <w:bookmarkStart w:id="148"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4"/>
      <w:bookmarkEnd w:id="145"/>
      <w:bookmarkEnd w:id="146"/>
      <w:bookmarkEnd w:id="147"/>
      <w:r>
        <w:rPr>
          <w:rFonts w:hint="eastAsia" w:ascii="Times New Roman" w:hAnsi="Times New Roman" w:eastAsia="黑体" w:cs="Times New Roman"/>
          <w:sz w:val="28"/>
          <w:szCs w:val="28"/>
        </w:rPr>
        <w:t>报价清单</w:t>
      </w:r>
      <w:bookmarkEnd w:id="148"/>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9" w:name="_Toc7738_WPSOffice_Level1"/>
      <w:bookmarkStart w:id="150" w:name="_Toc31445_WPSOffice_Level1"/>
      <w:bookmarkStart w:id="151" w:name="_Toc10436_WPSOffice_Level1"/>
      <w:bookmarkStart w:id="152" w:name="_Toc22815_WPSOffice_Level1"/>
      <w:bookmarkStart w:id="153" w:name="_Toc235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4" w:name="_Toc27600_WPSOffice_Level2"/>
      <w:bookmarkStart w:id="155" w:name="_Toc2807_WPSOffice_Level2"/>
      <w:r>
        <w:rPr>
          <w:rFonts w:ascii="Times New Roman" w:hAnsi="Times New Roman" w:eastAsia="黑体" w:cs="Times New Roman"/>
          <w:sz w:val="28"/>
          <w:szCs w:val="28"/>
        </w:rPr>
        <w:t>供应商基本情况</w:t>
      </w:r>
      <w:bookmarkEnd w:id="149"/>
      <w:bookmarkEnd w:id="150"/>
      <w:bookmarkEnd w:id="151"/>
      <w:bookmarkEnd w:id="152"/>
      <w:bookmarkEnd w:id="153"/>
      <w:bookmarkEnd w:id="154"/>
      <w:bookmarkEnd w:id="155"/>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6" w:name="_Toc19004_WPSOffice_Level1"/>
      <w:bookmarkStart w:id="157" w:name="_Toc3772_WPSOffice_Level1"/>
      <w:bookmarkStart w:id="158" w:name="_Toc5072_WPSOffice_Level1"/>
      <w:bookmarkStart w:id="159" w:name="_Toc1452_WPSOffice_Level1"/>
      <w:bookmarkStart w:id="160" w:name="_Toc18547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6"/>
      <w:bookmarkEnd w:id="157"/>
      <w:bookmarkEnd w:id="158"/>
      <w:bookmarkEnd w:id="159"/>
      <w:bookmarkEnd w:id="160"/>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61" w:name="_Toc5403_WPSOffice_Level1"/>
      <w:bookmarkStart w:id="162" w:name="_Toc3893_WPSOffice_Level1"/>
      <w:bookmarkStart w:id="163" w:name="_Toc30712_WPSOffice_Level1"/>
      <w:bookmarkStart w:id="164" w:name="_Toc12019_WPSOffice_Level1"/>
      <w:bookmarkStart w:id="165" w:name="_Toc9267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1"/>
      <w:bookmarkEnd w:id="162"/>
      <w:bookmarkEnd w:id="163"/>
      <w:bookmarkEnd w:id="164"/>
      <w:bookmarkEnd w:id="165"/>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0"/>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2E2CC9"/>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E505E5"/>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9F53C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2042C"/>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6B4E07"/>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856BF"/>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0F0BA2"/>
    <w:rsid w:val="58212766"/>
    <w:rsid w:val="58263803"/>
    <w:rsid w:val="583B5BED"/>
    <w:rsid w:val="584B2C50"/>
    <w:rsid w:val="58575B08"/>
    <w:rsid w:val="589C0B6F"/>
    <w:rsid w:val="58A806C6"/>
    <w:rsid w:val="58B26E94"/>
    <w:rsid w:val="58C12532"/>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949F3"/>
    <w:rsid w:val="5BFB1FB9"/>
    <w:rsid w:val="5C065934"/>
    <w:rsid w:val="5C337866"/>
    <w:rsid w:val="5C651809"/>
    <w:rsid w:val="5C762B57"/>
    <w:rsid w:val="5C7D3080"/>
    <w:rsid w:val="5C7D4F86"/>
    <w:rsid w:val="5C7E0D7E"/>
    <w:rsid w:val="5C864410"/>
    <w:rsid w:val="5CA409DB"/>
    <w:rsid w:val="5CAE3391"/>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4108D"/>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2141C"/>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0"/>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spacing w:beforeAutospacing="1" w:afterAutospacing="1"/>
      <w:jc w:val="left"/>
    </w:pPr>
    <w:rPr>
      <w:rFonts w:cs="Times New Roman"/>
      <w:kern w:val="0"/>
      <w:sz w:val="24"/>
    </w:rPr>
  </w:style>
  <w:style w:type="paragraph" w:styleId="12">
    <w:name w:val="Title"/>
    <w:basedOn w:val="1"/>
    <w:next w:val="1"/>
    <w:autoRedefine/>
    <w:qFormat/>
    <w:uiPriority w:val="0"/>
    <w:pPr>
      <w:jc w:val="center"/>
    </w:pPr>
    <w:rPr>
      <w:sz w:val="30"/>
      <w:szCs w:val="30"/>
    </w:rPr>
  </w:style>
  <w:style w:type="paragraph" w:styleId="13">
    <w:name w:val="Body Text First Indent 2"/>
    <w:basedOn w:val="6"/>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0"/>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8"/>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14739</Words>
  <Characters>15749</Characters>
  <Lines>141</Lines>
  <Paragraphs>39</Paragraphs>
  <TotalTime>1</TotalTime>
  <ScaleCrop>false</ScaleCrop>
  <LinksUpToDate>false</LinksUpToDate>
  <CharactersWithSpaces>16170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2026-05-22T08:48:50Z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58425549B22944E99EFF778EF93C1A9E_13</vt:lpwstr>
  </property>
  <property fmtid="{D5CDD505-2E9C-101B-9397-08002B2CF9AE}" pid="4" name="KSOTemplateDocerSaveRecord">
    <vt:lpwstr>eyJoZGlkIjoiODQ1N2I3OGFmYzhhZmVlYzE5NzU4OTRlOWE3OTk4OWYiLCJ1c2VySWQiOiIzMTExOTYxMzUifQ==</vt:lpwstr>
  </property>
</Properties>
</file>