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JYYG2023003智能沥青洒布</w:t>
      </w:r>
      <w:r>
        <w:rPr>
          <w:rFonts w:hint="eastAsia" w:ascii="Times New Roman" w:hAnsi="Times New Roman" w:eastAsia="黑体" w:cs="Times New Roman"/>
          <w:sz w:val="44"/>
          <w:szCs w:val="32"/>
        </w:rPr>
        <w:t>车采购</w:t>
      </w:r>
      <w:r>
        <w:rPr>
          <w:rFonts w:hint="eastAsia" w:ascii="Times New Roman" w:hAnsi="Times New Roman" w:eastAsia="黑体" w:cs="Times New Roman"/>
          <w:sz w:val="44"/>
          <w:szCs w:val="32"/>
          <w:lang w:val="en-US" w:eastAsia="zh-CN"/>
        </w:rPr>
        <w:t>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5</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12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2"/>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2"/>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2"/>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5"/>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10395_WPSOffice_Level2"/>
      <w:bookmarkStart w:id="4" w:name="_Toc24354_WPSOffice_Level2"/>
      <w:bookmarkStart w:id="5" w:name="_Toc12765"/>
      <w:bookmarkStart w:id="6" w:name="_Toc525632585"/>
      <w:bookmarkStart w:id="7" w:name="_Toc13871"/>
      <w:bookmarkStart w:id="8" w:name="_Toc6496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JYYG2023003</w:t>
      </w:r>
      <w:r>
        <w:rPr>
          <w:rFonts w:hint="eastAsia" w:ascii="宋体" w:hAnsi="宋体" w:eastAsia="宋体" w:cs="宋体"/>
          <w:szCs w:val="21"/>
          <w:u w:val="single"/>
          <w:lang w:eastAsia="zh-CN"/>
        </w:rPr>
        <w:t>智能沥青洒布</w:t>
      </w:r>
      <w:r>
        <w:rPr>
          <w:rFonts w:hint="eastAsia" w:ascii="宋体" w:hAnsi="宋体" w:eastAsia="宋体" w:cs="宋体"/>
          <w:szCs w:val="21"/>
          <w:u w:val="single"/>
        </w:rPr>
        <w:t>车采购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路面工作，</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宋体" w:hAnsi="宋体" w:eastAsia="宋体" w:cs="宋体"/>
          <w:szCs w:val="21"/>
          <w:u w:val="single"/>
          <w:lang w:eastAsia="zh-CN"/>
        </w:rPr>
        <w:t>智能沥青洒布</w:t>
      </w:r>
      <w:r>
        <w:rPr>
          <w:rFonts w:hint="eastAsia" w:ascii="宋体" w:hAnsi="宋体" w:eastAsia="宋体" w:cs="宋体"/>
          <w:szCs w:val="21"/>
          <w:u w:val="single"/>
        </w:rPr>
        <w:t>车</w:t>
      </w:r>
      <w:r>
        <w:rPr>
          <w:rFonts w:hint="eastAsia" w:ascii="Times New Roman" w:hAnsi="Times New Roman" w:cs="Times New Roman"/>
          <w:szCs w:val="22"/>
          <w:u w:val="single"/>
        </w:rPr>
        <w:t>1台</w:t>
      </w:r>
      <w:r>
        <w:rPr>
          <w:rFonts w:hint="eastAsia" w:ascii="Times New Roman" w:hAnsi="Times New Roman" w:cs="Times New Roman"/>
          <w:szCs w:val="22"/>
          <w:u w:val="single"/>
          <w:lang w:val="en-US" w:eastAsia="zh-CN"/>
        </w:rPr>
        <w:t xml:space="preserve"> </w:t>
      </w:r>
    </w:p>
    <w:p>
      <w:pPr>
        <w:pStyle w:val="5"/>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8128_WPSOffice_Level2"/>
      <w:bookmarkStart w:id="11" w:name="_Toc18367_WPSOffice_Level2"/>
      <w:bookmarkStart w:id="12" w:name="_Toc525632586"/>
      <w:bookmarkStart w:id="13" w:name="_Toc23266_WPSOffice_Level2"/>
      <w:bookmarkStart w:id="14" w:name="_Toc17858_WPSOffice_Level2"/>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宋体" w:hAnsi="宋体" w:eastAsia="宋体" w:cs="宋体"/>
          <w:szCs w:val="21"/>
          <w:u w:val="single"/>
          <w:lang w:eastAsia="zh-CN"/>
        </w:rPr>
        <w:t>智能沥青洒布</w:t>
      </w:r>
      <w:r>
        <w:rPr>
          <w:rFonts w:hint="eastAsia" w:ascii="宋体" w:hAnsi="宋体" w:eastAsia="宋体" w:cs="宋体"/>
          <w:szCs w:val="21"/>
          <w:u w:val="single"/>
        </w:rPr>
        <w:t>车</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60</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snapToGrid w:val="0"/>
        <w:spacing w:line="500" w:lineRule="atLeast"/>
        <w:ind w:firstLine="420" w:firstLineChars="200"/>
        <w:rPr>
          <w:rFonts w:hint="eastAsia"/>
          <w:sz w:val="24"/>
          <w:lang w:val="en-US"/>
        </w:rPr>
      </w:pPr>
      <w:bookmarkStart w:id="19" w:name="_Toc6388"/>
      <w:bookmarkStart w:id="20" w:name="_Toc3714"/>
      <w:bookmarkStart w:id="21" w:name="_Toc1622_WPSOffice_Level2"/>
      <w:bookmarkStart w:id="22" w:name="_Toc22379_WPSOffice_Level2"/>
      <w:bookmarkStart w:id="23" w:name="_Toc29516_WPSOffice_Level2"/>
      <w:bookmarkStart w:id="24" w:name="_Toc525632587"/>
      <w:bookmarkStart w:id="25" w:name="_Toc31673_WPSOffice_Level2"/>
      <w:r>
        <w:rPr>
          <w:rFonts w:hint="eastAsia" w:ascii="Times New Roman" w:hAnsi="Times New Roman" w:cs="Times New Roman"/>
          <w:szCs w:val="22"/>
          <w:lang w:val="en-US" w:eastAsia="zh-CN"/>
        </w:rPr>
        <w:t>2.7 需留差价，不可顶格报价</w:t>
      </w:r>
    </w:p>
    <w:p>
      <w:pPr>
        <w:pStyle w:val="36"/>
        <w:spacing w:before="143"/>
        <w:ind w:right="1430"/>
        <w:jc w:val="left"/>
        <w:rPr>
          <w:sz w:val="24"/>
          <w:lang w:val="en-US"/>
        </w:rPr>
      </w:pPr>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r>
        <w:rPr>
          <w:rFonts w:hint="eastAsia"/>
          <w:sz w:val="24"/>
          <w:highlight w:val="green"/>
          <w:lang w:val="en-US" w:eastAsia="zh-CN"/>
        </w:rPr>
        <w:t>清扫车</w:t>
      </w:r>
      <w:r>
        <w:rPr>
          <w:rFonts w:hint="eastAsia"/>
          <w:sz w:val="24"/>
          <w:highlight w:val="green"/>
        </w:rPr>
        <w:t>上牌时,须按需方指定地点和方式执行,选择的牌号须经需方认可。需方配合提供公司相关证明及在相关表格加盖公章等）。商业保险及上牌费（含交强险、车损险（≥车价）、第三者责任险(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5"/>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4109_WPSOffice_Level2"/>
      <w:bookmarkStart w:id="28" w:name="_Toc4751"/>
      <w:bookmarkStart w:id="29" w:name="_Toc1994"/>
      <w:bookmarkStart w:id="30" w:name="_Toc2996_WPSOffice_Level2"/>
      <w:bookmarkStart w:id="31" w:name="_Toc525632588"/>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19 </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9</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bookmarkStart w:id="169" w:name="_GoBack"/>
      <w:bookmarkEnd w:id="169"/>
    </w:p>
    <w:p>
      <w:pPr>
        <w:pStyle w:val="5"/>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 xml:space="preserve">3 </w:t>
      </w:r>
      <w:r>
        <w:rPr>
          <w:rFonts w:hint="eastAsia" w:ascii="Times New Roman" w:hAnsi="Times New Roman"/>
        </w:rPr>
        <w:t xml:space="preserve">年 </w:t>
      </w:r>
      <w:r>
        <w:rPr>
          <w:rFonts w:hint="eastAsia" w:ascii="Times New Roman" w:hAnsi="Times New Roman"/>
          <w:lang w:val="en-US" w:eastAsia="zh-CN"/>
        </w:rPr>
        <w:t>5</w:t>
      </w:r>
      <w:r>
        <w:rPr>
          <w:rFonts w:hint="eastAsia" w:ascii="Times New Roman" w:hAnsi="Times New Roman"/>
        </w:rPr>
        <w:t xml:space="preserve">月 </w:t>
      </w:r>
      <w:r>
        <w:rPr>
          <w:rFonts w:hint="eastAsia" w:ascii="Times New Roman" w:hAnsi="Times New Roman"/>
          <w:lang w:val="en-US" w:eastAsia="zh-CN"/>
        </w:rPr>
        <w:t xml:space="preserve">18 </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5"/>
        <w:snapToGrid w:val="0"/>
        <w:spacing w:before="120" w:after="120" w:line="560" w:lineRule="exact"/>
        <w:ind w:firstLine="403"/>
        <w:rPr>
          <w:rFonts w:ascii="Times New Roman" w:hAnsi="Times New Roman" w:eastAsia="黑体" w:cs="Times New Roman"/>
          <w:bCs w:val="0"/>
          <w:sz w:val="22"/>
          <w:szCs w:val="15"/>
        </w:rPr>
      </w:pPr>
      <w:bookmarkStart w:id="37" w:name="_Toc26829"/>
      <w:bookmarkStart w:id="38" w:name="_Toc20572_WPSOffice_Level2"/>
      <w:bookmarkStart w:id="39" w:name="_Toc8501"/>
      <w:bookmarkStart w:id="40" w:name="_Toc525632592"/>
      <w:bookmarkStart w:id="41" w:name="_Toc14943_WPSOffice_Level2"/>
      <w:bookmarkStart w:id="42" w:name="_Toc28571_WPSOffice_Level2"/>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3"/>
        <w:jc w:val="center"/>
        <w:rPr>
          <w:rFonts w:hint="default" w:ascii="Times New Roman" w:hAnsi="Times New Roman"/>
          <w:color w:val="auto"/>
          <w:sz w:val="21"/>
          <w:szCs w:val="22"/>
        </w:rPr>
      </w:pPr>
    </w:p>
    <w:p>
      <w:pPr>
        <w:pStyle w:val="23"/>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5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12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3"/>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8</w:t>
            </w:r>
            <w:r>
              <w:rPr>
                <w:rFonts w:hint="eastAsia"/>
              </w:rPr>
              <w:t>分；在此基础上：</w:t>
            </w:r>
          </w:p>
          <w:p>
            <w:pPr>
              <w:pStyle w:val="2"/>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16</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w:t>
            </w:r>
            <w:r>
              <w:rPr>
                <w:rFonts w:hint="eastAsia"/>
                <w:lang w:val="en-US" w:eastAsia="zh-CN"/>
              </w:rPr>
              <w:t>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4"/>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24 </w:t>
      </w:r>
      <w:r>
        <w:rPr>
          <w:rFonts w:hint="eastAsia" w:ascii="宋体" w:hAnsi="宋体" w:eastAsia="宋体" w:cs="宋体"/>
          <w:kern w:val="0"/>
          <w:szCs w:val="21"/>
        </w:rPr>
        <w:t>个月）甲方将剩余的保留金无息退还给乙方。</w:t>
      </w:r>
    </w:p>
    <w:p>
      <w:pPr>
        <w:pStyle w:val="2"/>
      </w:pP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8"/>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4"/>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rPr>
          <w:rFonts w:ascii="Times New Roman" w:hAnsi="Times New Roman" w:eastAsia="宋体" w:cs="Times New Roman"/>
        </w:rPr>
      </w:pPr>
    </w:p>
    <w:tbl>
      <w:tblPr>
        <w:tblStyle w:val="14"/>
        <w:tblW w:w="92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6"/>
        <w:gridCol w:w="8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2" w:hRule="atLeast"/>
          <w:jc w:val="center"/>
        </w:trPr>
        <w:tc>
          <w:tcPr>
            <w:tcW w:w="976" w:type="dxa"/>
            <w:noWrap w:val="0"/>
            <w:vAlign w:val="center"/>
          </w:tcPr>
          <w:p>
            <w:pPr>
              <w:jc w:val="center"/>
              <w:rPr>
                <w:rStyle w:val="40"/>
                <w:rFonts w:hint="eastAsia" w:ascii="宋体" w:hAnsi="宋体" w:eastAsia="宋体" w:cs="宋体"/>
                <w:b/>
                <w:bCs/>
                <w:color w:val="auto"/>
                <w:sz w:val="21"/>
                <w:szCs w:val="21"/>
                <w:lang w:val="en-US" w:eastAsia="zh-CN"/>
              </w:rPr>
            </w:pPr>
            <w:r>
              <w:rPr>
                <w:rStyle w:val="40"/>
                <w:rFonts w:hint="eastAsia" w:ascii="宋体" w:hAnsi="宋体" w:eastAsia="宋体" w:cs="宋体"/>
                <w:b/>
                <w:bCs/>
                <w:color w:val="auto"/>
                <w:sz w:val="21"/>
                <w:szCs w:val="21"/>
                <w:lang w:val="en-US" w:eastAsia="zh-CN"/>
              </w:rPr>
              <w:t>序号</w:t>
            </w:r>
          </w:p>
        </w:tc>
        <w:tc>
          <w:tcPr>
            <w:tcW w:w="8314" w:type="dxa"/>
            <w:noWrap w:val="0"/>
            <w:vAlign w:val="center"/>
          </w:tcPr>
          <w:p>
            <w:pPr>
              <w:jc w:val="center"/>
              <w:rPr>
                <w:rStyle w:val="40"/>
                <w:rFonts w:hint="eastAsia" w:ascii="宋体" w:hAnsi="宋体" w:eastAsia="宋体" w:cs="宋体"/>
                <w:b/>
                <w:bCs/>
                <w:color w:val="auto"/>
                <w:sz w:val="21"/>
                <w:szCs w:val="21"/>
                <w:lang w:val="en-US" w:eastAsia="zh-CN"/>
              </w:rPr>
            </w:pPr>
            <w:r>
              <w:rPr>
                <w:rStyle w:val="40"/>
                <w:rFonts w:hint="eastAsia" w:ascii="宋体" w:hAnsi="宋体" w:eastAsia="宋体" w:cs="宋体"/>
                <w:b/>
                <w:bCs/>
                <w:color w:val="auto"/>
                <w:sz w:val="21"/>
                <w:szCs w:val="21"/>
                <w:lang w:val="en-US" w:eastAsia="zh-CN"/>
              </w:rPr>
              <w:t>主要技术指标和要求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★总质量≥13000kg； 国家工信部公告参数页为准（须将公告参数附于投标文件中）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★整备质量≥7900kg  国家工信部公告参数页为准（须将公告参数附于投标文件中）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976" w:type="dxa"/>
            <w:noWrap w:val="0"/>
            <w:vAlign w:val="center"/>
          </w:tcPr>
          <w:p>
            <w:pPr>
              <w:pStyle w:val="41"/>
              <w:ind w:left="108"/>
              <w:jc w:val="center"/>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3</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★额定载重量≥5800kg；国家工信部公告参数页为准（须将公告参数附于投标文件中）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4</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燃料：柴油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5</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排放标准：整车不低于国六排放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6</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底盘采用</w:t>
            </w:r>
            <w:r>
              <w:rPr>
                <w:rStyle w:val="40"/>
                <w:rFonts w:hint="eastAsia" w:ascii="宋体" w:hAnsi="宋体" w:eastAsia="宋体" w:cs="宋体"/>
                <w:color w:val="auto"/>
                <w:sz w:val="21"/>
                <w:szCs w:val="21"/>
              </w:rPr>
              <w:t>东风或同等级品牌</w:t>
            </w:r>
            <w:r>
              <w:rPr>
                <w:rStyle w:val="40"/>
                <w:rFonts w:hint="eastAsia" w:ascii="宋体" w:hAnsi="宋体" w:eastAsia="宋体" w:cs="宋体"/>
                <w:color w:val="auto"/>
                <w:sz w:val="21"/>
                <w:szCs w:val="21"/>
                <w:lang w:val="en-US" w:eastAsia="zh-CN"/>
              </w:rPr>
              <w:t>须注明品牌型号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7</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底盘发动机最大输出功率≥120kw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8</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整车采用底盘取力，无辅助发动机或发电机。上装所需动力均来自底盘发动机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9</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沥青罐容积≥6m³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10</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洒布介质：改性沥青、基质沥青、乳化沥青的喷洒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11</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 xml:space="preserve">加热方式：采用u型火管导热油加热，烟囱置于罐体外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12</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洒布宽度 ≥4米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13</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沥青洒布量0.2-3kg/㎡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14</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★沥青泵流量≥670L/min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15</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保温性能:平均降温≤1℃/h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16</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燃烧器功率≥10×104kcal/h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17</w:t>
            </w:r>
          </w:p>
        </w:tc>
        <w:tc>
          <w:tcPr>
            <w:tcW w:w="8314" w:type="dxa"/>
            <w:noWrap w:val="0"/>
            <w:vAlign w:val="center"/>
          </w:tcPr>
          <w:p>
            <w:pPr>
              <w:pStyle w:val="41"/>
              <w:ind w:left="108"/>
              <w:rPr>
                <w:rStyle w:val="40"/>
                <w:rFonts w:hint="eastAsia" w:ascii="宋体" w:hAnsi="宋体" w:eastAsia="宋体" w:cs="宋体"/>
                <w:color w:val="auto"/>
                <w:sz w:val="21"/>
                <w:szCs w:val="21"/>
              </w:rPr>
            </w:pPr>
            <w:r>
              <w:rPr>
                <w:rStyle w:val="40"/>
                <w:rFonts w:hint="eastAsia" w:ascii="宋体" w:hAnsi="宋体" w:eastAsia="宋体" w:cs="宋体"/>
                <w:color w:val="auto"/>
                <w:sz w:val="21"/>
                <w:szCs w:val="21"/>
                <w:lang w:val="en-US" w:eastAsia="zh-CN"/>
              </w:rPr>
              <w:t xml:space="preserve">燃烧器品牌及型号：利雅路G20S，同等或高于该品牌型号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18</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★液压泵：不低于国内知名品牌，须注明品牌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19</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 xml:space="preserve">★驱动马达：不低于国内知名品牌，须注明品牌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20</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 xml:space="preserve"> PLC及主控元件：采用进口元件国外知名品牌，须注明品牌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21</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default" w:ascii="宋体" w:hAnsi="宋体" w:eastAsia="宋体" w:cs="宋体"/>
                <w:color w:val="auto"/>
                <w:sz w:val="21"/>
                <w:szCs w:val="21"/>
                <w:lang w:val="en-US" w:eastAsia="zh-CN"/>
              </w:rPr>
              <w:t>★</w:t>
            </w:r>
            <w:r>
              <w:rPr>
                <w:rStyle w:val="40"/>
                <w:rFonts w:hint="eastAsia" w:ascii="宋体" w:hAnsi="宋体" w:eastAsia="宋体" w:cs="宋体"/>
                <w:color w:val="auto"/>
                <w:sz w:val="21"/>
                <w:szCs w:val="21"/>
                <w:lang w:val="en-US" w:eastAsia="zh-CN"/>
              </w:rPr>
              <w:t>沥青温度传感器：不低于国内知名品牌，须注明品牌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22</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★导热油压力传感器 ：不低于国内知名品牌，须注明品牌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23</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车辆必须是国家公告产品，能确保车辆上牌。整车（包括零部件）必须有3C认证证书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eastAsia="宋体" w:cs="宋体"/>
                <w:color w:val="auto"/>
                <w:sz w:val="21"/>
                <w:szCs w:val="21"/>
                <w:lang w:val="en-US" w:eastAsia="zh-CN"/>
              </w:rPr>
              <w:t>24</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eastAsia="宋体" w:cs="宋体"/>
                <w:color w:val="auto"/>
                <w:sz w:val="21"/>
                <w:szCs w:val="21"/>
                <w:lang w:val="en-US" w:eastAsia="zh-CN"/>
              </w:rPr>
              <w:t>质保期2年</w:t>
            </w:r>
          </w:p>
        </w:tc>
      </w:tr>
    </w:tbl>
    <w:p>
      <w:pPr>
        <w:spacing w:after="0" w:line="440" w:lineRule="exact"/>
        <w:ind w:firstLine="480" w:firstLineChars="200"/>
      </w:pPr>
      <w:r>
        <w:rPr>
          <w:rFonts w:hint="eastAsia" w:ascii="仿宋" w:hAnsi="仿宋" w:eastAsia="仿宋"/>
          <w:sz w:val="24"/>
        </w:rPr>
        <w:t>带</w:t>
      </w:r>
      <w:r>
        <w:rPr>
          <w:rFonts w:hint="eastAsia" w:cs="宋体"/>
          <w:b/>
          <w:bCs/>
          <w:color w:val="FF0000"/>
          <w:sz w:val="21"/>
          <w:szCs w:val="21"/>
          <w:highlight w:val="none"/>
        </w:rPr>
        <w:t>★</w:t>
      </w:r>
      <w:r>
        <w:rPr>
          <w:rFonts w:hint="eastAsia" w:ascii="仿宋" w:hAnsi="仿宋" w:eastAsia="仿宋"/>
          <w:sz w:val="24"/>
        </w:rPr>
        <w:t>参数为关键性技术参数,投标人必须无条件满足</w:t>
      </w:r>
      <w:r>
        <w:rPr>
          <w:rFonts w:ascii="仿宋" w:hAnsi="仿宋" w:eastAsia="仿宋"/>
          <w:sz w:val="24"/>
        </w:rPr>
        <w:t>,</w:t>
      </w:r>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ind w:firstLine="630" w:firstLineChars="300"/>
        <w:jc w:val="left"/>
        <w:rPr>
          <w:rFonts w:hint="eastAsia" w:ascii="宋体" w:hAnsi="宋体" w:eastAsia="宋体" w:cs="宋体"/>
          <w:sz w:val="21"/>
          <w:szCs w:val="21"/>
        </w:rPr>
      </w:pPr>
      <w:r>
        <w:rPr>
          <w:rFonts w:hint="eastAsia" w:ascii="宋体" w:hAnsi="宋体" w:eastAsia="宋体" w:cs="宋体"/>
          <w:sz w:val="21"/>
          <w:szCs w:val="21"/>
        </w:rPr>
        <w:t>注：带*号技术参数必须完全满足。</w:t>
      </w: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8261"/>
      <w:bookmarkStart w:id="82" w:name="_Toc2529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参见的内容，需对其中所列各项指标和要求逐项明确响应。技术参数要求中加“*”的项目，是满足技术规格的最低要求，必须全部满足。</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3</w:t>
      </w:r>
      <w:r>
        <w:rPr>
          <w:rFonts w:hint="eastAsia" w:ascii="宋体" w:hAnsi="宋体" w:eastAsia="宋体" w:cs="宋体"/>
          <w:bCs/>
          <w:sz w:val="21"/>
          <w:szCs w:val="21"/>
        </w:rPr>
        <w:t>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0" w:firstLineChars="200"/>
        <w:rPr>
          <w:rFonts w:hint="default" w:ascii="宋体" w:hAnsi="宋体" w:eastAsia="宋体" w:cs="宋体"/>
          <w:bCs/>
          <w:sz w:val="21"/>
          <w:szCs w:val="21"/>
          <w:lang w:val="en-US" w:eastAsia="zh-CN"/>
        </w:rPr>
      </w:pPr>
      <w:r>
        <w:rPr>
          <w:rFonts w:hint="eastAsia" w:ascii="宋体" w:hAnsi="宋体" w:eastAsia="宋体" w:cs="宋体"/>
          <w:bCs/>
          <w:sz w:val="21"/>
          <w:szCs w:val="21"/>
        </w:rPr>
        <w:t>7、交货地点：</w:t>
      </w:r>
      <w:r>
        <w:rPr>
          <w:rFonts w:hint="eastAsia" w:ascii="宋体" w:hAnsi="宋体" w:eastAsia="宋体" w:cs="宋体"/>
          <w:bCs/>
          <w:sz w:val="21"/>
          <w:szCs w:val="21"/>
          <w:lang w:val="en-US" w:eastAsia="zh-CN"/>
        </w:rPr>
        <w:t>甲方指定</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w:t>
      </w:r>
    </w:p>
    <w:p>
      <w:pPr>
        <w:pStyle w:val="2"/>
        <w:ind w:firstLine="420" w:firstLineChars="200"/>
        <w:rPr>
          <w:rFonts w:hint="eastAsia" w:ascii="宋体" w:hAnsi="宋体" w:eastAsia="宋体" w:cs="宋体"/>
          <w:bCs/>
          <w:sz w:val="21"/>
          <w:szCs w:val="21"/>
        </w:rPr>
      </w:pPr>
      <w:r>
        <w:rPr>
          <w:rFonts w:hint="eastAsia" w:ascii="宋体" w:hAnsi="宋体" w:eastAsia="宋体" w:cs="宋体"/>
          <w:bCs/>
          <w:sz w:val="21"/>
          <w:szCs w:val="21"/>
        </w:rPr>
        <w:t>培训计划：完善的培训计划，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30529_WPSOffice_Level1"/>
      <w:bookmarkStart w:id="97" w:name="_Toc23368_WPSOffice_Level1"/>
      <w:bookmarkStart w:id="98" w:name="_Toc6353_WPSOffice_Level1"/>
      <w:bookmarkStart w:id="99" w:name="_Toc11424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5317_WPSOffice_Level1"/>
      <w:bookmarkStart w:id="102" w:name="_Toc31927_WPSOffice_Level1"/>
      <w:bookmarkStart w:id="103" w:name="_Toc21229_WPSOffice_Level1"/>
      <w:bookmarkStart w:id="104" w:name="_Toc327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3356_WPSOffice_Level1"/>
      <w:bookmarkStart w:id="106" w:name="_Toc4728_WPSOffice_Level1"/>
      <w:bookmarkStart w:id="107" w:name="_Toc29085_WPSOffice_Level1"/>
      <w:bookmarkStart w:id="108"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0608_WPSOffice_Level1"/>
      <w:bookmarkStart w:id="110" w:name="_Toc18964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23751_WPSOffice_Level1"/>
      <w:bookmarkStart w:id="114" w:name="_Toc1578_WPSOffice_Level1"/>
      <w:bookmarkStart w:id="115" w:name="_Toc19601_WPSOffice_Level1"/>
      <w:bookmarkStart w:id="116" w:name="_Toc9006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27403_WPSOffice_Level1"/>
      <w:bookmarkStart w:id="124" w:name="_Toc30273_WPSOffice_Level1"/>
      <w:bookmarkStart w:id="125" w:name="_Toc32648_WPSOffice_Level1"/>
      <w:bookmarkStart w:id="126" w:name="_Toc25804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32152_WPSOffice_Level1"/>
      <w:bookmarkStart w:id="129" w:name="_Toc30234_WPSOffice_Level1"/>
      <w:bookmarkStart w:id="130"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3" w:name="_Toc1687_WPSOffice_Level1"/>
      <w:bookmarkStart w:id="134" w:name="_Toc30031_WPSOffice_Level1"/>
      <w:bookmarkStart w:id="135" w:name="_Toc18312_WPSOffice_Level1"/>
      <w:bookmarkStart w:id="136" w:name="_Toc29399_WPSOffice_Level1"/>
      <w:bookmarkStart w:id="137" w:name="_Toc2765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8668_WPSOffice_Level1"/>
      <w:bookmarkStart w:id="139" w:name="_Toc8695_WPSOffice_Level1"/>
      <w:bookmarkStart w:id="140" w:name="_Toc14563_WPSOffice_Level1"/>
      <w:bookmarkStart w:id="141" w:name="_Toc32350_WPSOffice_Level1"/>
      <w:bookmarkStart w:id="142" w:name="_Toc1253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32085_WPSOffice_Level1"/>
      <w:bookmarkStart w:id="148" w:name="_Toc24530_WPSOffice_Level1"/>
      <w:bookmarkStart w:id="149" w:name="_Toc15186_WPSOffice_Level1"/>
      <w:bookmarkStart w:id="150" w:name="_Toc24567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2815_WPSOffice_Level1"/>
      <w:bookmarkStart w:id="153" w:name="_Toc7738_WPSOffice_Level1"/>
      <w:bookmarkStart w:id="154" w:name="_Toc10436_WPSOffice_Level1"/>
      <w:bookmarkStart w:id="155" w:name="_Toc31445_WPSOffice_Level1"/>
      <w:bookmarkStart w:id="156" w:name="_Toc235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9" w:name="_Toc18547_WPSOffice_Level1"/>
      <w:bookmarkStart w:id="160" w:name="_Toc19004_WPSOffice_Level1"/>
      <w:bookmarkStart w:id="161" w:name="_Toc1452_WPSOffice_Level1"/>
      <w:bookmarkStart w:id="162" w:name="_Toc3772_WPSOffice_Level1"/>
      <w:bookmarkStart w:id="163"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9267_WPSOffice_Level1"/>
      <w:bookmarkStart w:id="165" w:name="_Toc5403_WPSOffice_Level1"/>
      <w:bookmarkStart w:id="166" w:name="_Toc30712_WPSOffice_Level1"/>
      <w:bookmarkStart w:id="167" w:name="_Toc12019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9"/>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0NTI3NTQxYWY4OWYyNDk4NmY3OTAzYTI4OTcxYmE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DF7E2E"/>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191D36"/>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3F0397"/>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723962"/>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63522"/>
    <w:rsid w:val="47BE0861"/>
    <w:rsid w:val="47CC5BBD"/>
    <w:rsid w:val="47DE55F6"/>
    <w:rsid w:val="47ED3CA2"/>
    <w:rsid w:val="4801373A"/>
    <w:rsid w:val="4803315E"/>
    <w:rsid w:val="480A0199"/>
    <w:rsid w:val="481467FD"/>
    <w:rsid w:val="4817265E"/>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85744A"/>
    <w:rsid w:val="5E8B1BDC"/>
    <w:rsid w:val="5E9D79FE"/>
    <w:rsid w:val="5EA4369B"/>
    <w:rsid w:val="5EBB3B43"/>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0E2868"/>
    <w:rsid w:val="612F392E"/>
    <w:rsid w:val="613D0256"/>
    <w:rsid w:val="614C7A15"/>
    <w:rsid w:val="618B4124"/>
    <w:rsid w:val="618D3BCD"/>
    <w:rsid w:val="619752D3"/>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581E"/>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37F6C"/>
    <w:rsid w:val="6E1A25DF"/>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07E26"/>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5"/>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widowControl/>
      <w:ind w:left="100" w:leftChars="2500"/>
      <w:jc w:val="left"/>
    </w:pPr>
    <w:rPr>
      <w:kern w:val="0"/>
      <w:sz w:val="24"/>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2"/>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正文缩进1"/>
    <w:basedOn w:val="1"/>
    <w:qFormat/>
    <w:uiPriority w:val="0"/>
    <w:pPr>
      <w:adjustRightInd w:val="0"/>
      <w:spacing w:line="312" w:lineRule="atLeast"/>
      <w:ind w:firstLine="420"/>
    </w:pPr>
    <w:rPr>
      <w:kern w:val="0"/>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4">
    <w:name w:val="正文 题目"/>
    <w:basedOn w:val="1"/>
    <w:qFormat/>
    <w:uiPriority w:val="0"/>
    <w:pPr>
      <w:jc w:val="center"/>
    </w:pPr>
    <w:rPr>
      <w:rFonts w:ascii="黑体" w:hAnsi="黑体" w:eastAsia="黑体"/>
      <w:sz w:val="28"/>
    </w:rPr>
  </w:style>
  <w:style w:type="character" w:customStyle="1" w:styleId="25">
    <w:name w:val="标题 2 字符"/>
    <w:link w:val="5"/>
    <w:qFormat/>
    <w:uiPriority w:val="0"/>
    <w:rPr>
      <w:rFonts w:ascii="Arial" w:hAnsi="Arial"/>
      <w:b/>
      <w:bCs/>
      <w:sz w:val="28"/>
      <w:szCs w:val="32"/>
    </w:rPr>
  </w:style>
  <w:style w:type="character" w:customStyle="1" w:styleId="26">
    <w:name w:val="font01"/>
    <w:basedOn w:val="16"/>
    <w:qFormat/>
    <w:uiPriority w:val="0"/>
    <w:rPr>
      <w:rFonts w:hint="eastAsia" w:ascii="宋体" w:hAnsi="宋体" w:eastAsia="宋体" w:cs="宋体"/>
      <w:color w:val="000000"/>
      <w:sz w:val="20"/>
      <w:szCs w:val="20"/>
      <w:u w:val="none"/>
    </w:rPr>
  </w:style>
  <w:style w:type="character" w:customStyle="1" w:styleId="27">
    <w:name w:val="font31"/>
    <w:basedOn w:val="16"/>
    <w:qFormat/>
    <w:uiPriority w:val="0"/>
    <w:rPr>
      <w:rFonts w:hint="eastAsia" w:ascii="宋体" w:hAnsi="宋体" w:eastAsia="宋体" w:cs="宋体"/>
      <w:color w:val="000000"/>
      <w:sz w:val="24"/>
      <w:szCs w:val="24"/>
      <w:u w:val="none"/>
    </w:rPr>
  </w:style>
  <w:style w:type="character" w:customStyle="1" w:styleId="28">
    <w:name w:val="font61"/>
    <w:basedOn w:val="16"/>
    <w:qFormat/>
    <w:uiPriority w:val="0"/>
    <w:rPr>
      <w:rFonts w:hint="default" w:ascii="Times New Roman" w:hAnsi="Times New Roman" w:cs="Times New Roman"/>
      <w:color w:val="000000"/>
      <w:sz w:val="24"/>
      <w:szCs w:val="24"/>
      <w:u w:val="none"/>
    </w:rPr>
  </w:style>
  <w:style w:type="character" w:customStyle="1" w:styleId="29">
    <w:name w:val="font11"/>
    <w:basedOn w:val="16"/>
    <w:qFormat/>
    <w:uiPriority w:val="0"/>
    <w:rPr>
      <w:rFonts w:hint="eastAsia" w:ascii="宋体" w:hAnsi="宋体" w:eastAsia="宋体" w:cs="宋体"/>
      <w:color w:val="000000"/>
      <w:sz w:val="24"/>
      <w:szCs w:val="24"/>
      <w:u w:val="none"/>
    </w:rPr>
  </w:style>
  <w:style w:type="character" w:customStyle="1" w:styleId="30">
    <w:name w:val="font51"/>
    <w:basedOn w:val="16"/>
    <w:qFormat/>
    <w:uiPriority w:val="0"/>
    <w:rPr>
      <w:rFonts w:ascii="Calibri" w:hAnsi="Calibri" w:cs="Calibri"/>
      <w:color w:val="000000"/>
      <w:sz w:val="24"/>
      <w:szCs w:val="24"/>
      <w:u w:val="none"/>
    </w:rPr>
  </w:style>
  <w:style w:type="character" w:customStyle="1" w:styleId="31">
    <w:name w:val="font21"/>
    <w:basedOn w:val="16"/>
    <w:qFormat/>
    <w:uiPriority w:val="0"/>
    <w:rPr>
      <w:rFonts w:hint="eastAsia" w:ascii="宋体" w:hAnsi="宋体" w:eastAsia="宋体" w:cs="宋体"/>
      <w:b/>
      <w:bCs/>
      <w:color w:val="000000"/>
      <w:sz w:val="20"/>
      <w:szCs w:val="20"/>
      <w:u w:val="none"/>
    </w:rPr>
  </w:style>
  <w:style w:type="character" w:customStyle="1" w:styleId="32">
    <w:name w:val="font81"/>
    <w:basedOn w:val="16"/>
    <w:qFormat/>
    <w:uiPriority w:val="0"/>
    <w:rPr>
      <w:rFonts w:hint="default" w:ascii="Times New Roman" w:hAnsi="Times New Roman" w:cs="Times New Roman"/>
      <w:b/>
      <w:bCs/>
      <w:color w:val="000000"/>
      <w:sz w:val="20"/>
      <w:szCs w:val="20"/>
      <w:u w:val="none"/>
    </w:rPr>
  </w:style>
  <w:style w:type="character" w:customStyle="1" w:styleId="33">
    <w:name w:val="font41"/>
    <w:basedOn w:val="16"/>
    <w:qFormat/>
    <w:uiPriority w:val="0"/>
    <w:rPr>
      <w:rFonts w:hint="eastAsia" w:ascii="宋体" w:hAnsi="宋体" w:eastAsia="宋体" w:cs="宋体"/>
      <w:color w:val="000000"/>
      <w:sz w:val="20"/>
      <w:szCs w:val="20"/>
      <w:u w:val="none"/>
    </w:rPr>
  </w:style>
  <w:style w:type="character" w:customStyle="1" w:styleId="34">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5">
    <w:name w:val="hover52"/>
    <w:basedOn w:val="16"/>
    <w:qFormat/>
    <w:uiPriority w:val="0"/>
    <w:rPr>
      <w:color w:val="D61521"/>
    </w:rPr>
  </w:style>
  <w:style w:type="paragraph" w:customStyle="1" w:styleId="36">
    <w:name w:val="Table Paragraph"/>
    <w:basedOn w:val="1"/>
    <w:qFormat/>
    <w:uiPriority w:val="1"/>
    <w:rPr>
      <w:rFonts w:ascii="宋体" w:hAnsi="宋体" w:eastAsia="宋体" w:cs="宋体"/>
      <w:lang w:val="zh-CN" w:bidi="zh-CN"/>
    </w:rPr>
  </w:style>
  <w:style w:type="character" w:customStyle="1" w:styleId="37">
    <w:name w:val="页眉 字符"/>
    <w:basedOn w:val="16"/>
    <w:link w:val="10"/>
    <w:qFormat/>
    <w:uiPriority w:val="0"/>
    <w:rPr>
      <w:rFonts w:asciiTheme="minorHAnsi" w:hAnsiTheme="minorHAnsi" w:eastAsiaTheme="minorEastAsia" w:cstheme="minorBidi"/>
      <w:kern w:val="2"/>
      <w:sz w:val="18"/>
      <w:szCs w:val="18"/>
    </w:r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spacing w:line="400" w:lineRule="exact"/>
    </w:pPr>
    <w:rPr>
      <w:rFonts w:ascii="宋体" w:hAnsi="宋体" w:cs="宋体"/>
      <w:b/>
      <w:bCs/>
      <w:color w:val="000000"/>
      <w:kern w:val="0"/>
      <w:szCs w:val="21"/>
    </w:rPr>
  </w:style>
  <w:style w:type="character" w:customStyle="1" w:styleId="40">
    <w:name w:val="NormalCharacter"/>
    <w:semiHidden/>
    <w:qFormat/>
    <w:uiPriority w:val="0"/>
  </w:style>
  <w:style w:type="paragraph" w:customStyle="1" w:styleId="41">
    <w:name w:val="UserStyle_1"/>
    <w:basedOn w:val="1"/>
    <w:qFormat/>
    <w:uiPriority w:val="0"/>
    <w:rPr>
      <w:rFonts w:ascii="宋体" w:hAnsi="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15033</Words>
  <Characters>16066</Characters>
  <Lines>166</Lines>
  <Paragraphs>46</Paragraphs>
  <TotalTime>7</TotalTime>
  <ScaleCrop>false</ScaleCrop>
  <LinksUpToDate>false</LinksUpToDate>
  <CharactersWithSpaces>16560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2023-05-12T06:44:56Z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E228C9FAD4514C9FBD60B28EA79ABF59</vt:lpwstr>
  </property>
</Properties>
</file>