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汽车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3871"/>
      <w:bookmarkStart w:id="3" w:name="_Toc12765"/>
      <w:bookmarkStart w:id="4" w:name="_Toc24354_WPSOffice_Level2"/>
      <w:bookmarkStart w:id="5" w:name="_Toc6496_WPSOffice_Level2"/>
      <w:bookmarkStart w:id="6" w:name="_Toc525632585"/>
      <w:bookmarkStart w:id="7" w:name="_Toc4489_WPSOffice_Level2"/>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1台轿车，1台商务车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18367_WPSOffice_Level2"/>
      <w:bookmarkStart w:id="11" w:name="_Toc8128_WPSOffice_Level2"/>
      <w:bookmarkStart w:id="12" w:name="_Toc18453"/>
      <w:bookmarkStart w:id="13" w:name="_Toc23266_WPSOffice_Level2"/>
      <w:bookmarkStart w:id="14" w:name="_Toc525632586"/>
      <w:bookmarkStart w:id="15" w:name="_Toc17858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bookmarkStart w:id="165" w:name="_GoBack"/>
      <w:bookmarkEnd w:id="16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spacing w:line="240" w:lineRule="auto"/>
        <w:ind w:firstLine="420" w:firstLineChars="200"/>
        <w:rPr>
          <w:rFonts w:hint="default" w:ascii="宋体" w:hAnsi="宋体" w:cs="仿宋_GB2312" w:eastAsiaTheme="minorEastAsia"/>
          <w:sz w:val="30"/>
          <w:szCs w:val="30"/>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1.采购</w:t>
      </w:r>
      <w:r>
        <w:rPr>
          <w:rFonts w:hint="eastAsia" w:ascii="宋体" w:hAnsi="宋体" w:cs="仿宋_GB2312"/>
          <w:sz w:val="21"/>
          <w:szCs w:val="21"/>
          <w:u w:val="single"/>
        </w:rPr>
        <w:t>迈腾1.4T领先版</w:t>
      </w:r>
      <w:r>
        <w:rPr>
          <w:rFonts w:hint="eastAsia" w:ascii="宋体" w:hAnsi="宋体" w:cs="仿宋_GB2312"/>
          <w:sz w:val="21"/>
          <w:szCs w:val="21"/>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1890" w:firstLineChars="900"/>
        <w:textAlignment w:val="auto"/>
        <w:rPr>
          <w:rFonts w:hint="default" w:ascii="宋体" w:hAnsi="宋体" w:cs="仿宋_GB2312"/>
          <w:sz w:val="21"/>
          <w:szCs w:val="21"/>
          <w:lang w:val="en-US" w:eastAsia="zh-CN"/>
        </w:rPr>
      </w:pPr>
      <w:r>
        <w:rPr>
          <w:rFonts w:hint="eastAsia" w:ascii="Times New Roman" w:hAnsi="Times New Roman" w:cs="Times New Roman"/>
          <w:color w:val="auto"/>
          <w:sz w:val="21"/>
          <w:szCs w:val="22"/>
          <w:highlight w:val="none"/>
          <w:u w:val="single"/>
          <w:lang w:val="en-US" w:eastAsia="zh-CN"/>
        </w:rPr>
        <w:t>2.采购</w:t>
      </w:r>
      <w:r>
        <w:rPr>
          <w:rFonts w:hint="eastAsia" w:ascii="宋体" w:hAnsi="宋体" w:eastAsia="宋体" w:cs="宋体"/>
          <w:i w:val="0"/>
          <w:color w:val="000000"/>
          <w:kern w:val="0"/>
          <w:sz w:val="21"/>
          <w:szCs w:val="21"/>
          <w:u w:val="single"/>
          <w:lang w:val="en-US" w:eastAsia="zh-CN" w:bidi="ar"/>
        </w:rPr>
        <w:t>48V尊领型PLUS</w:t>
      </w:r>
      <w:r>
        <w:rPr>
          <w:rFonts w:hint="eastAsia" w:ascii="宋体" w:hAnsi="宋体" w:cs="仿宋_GB2312"/>
          <w:sz w:val="21"/>
          <w:szCs w:val="21"/>
          <w:u w:val="single"/>
          <w:lang w:val="en-US" w:eastAsia="zh-CN"/>
        </w:rPr>
        <w:t xml:space="preserve">  </w:t>
      </w:r>
    </w:p>
    <w:p>
      <w:pPr>
        <w:spacing w:line="240" w:lineRule="auto"/>
        <w:ind w:firstLine="420" w:firstLineChars="20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2个合同包（其中，采购</w:t>
      </w:r>
      <w:r>
        <w:rPr>
          <w:rFonts w:hint="eastAsia" w:ascii="宋体" w:hAnsi="宋体" w:cs="仿宋_GB2312"/>
          <w:sz w:val="21"/>
          <w:szCs w:val="21"/>
          <w:u w:val="single"/>
        </w:rPr>
        <w:t>迈腾1.4T领先版</w:t>
      </w:r>
      <w:r>
        <w:rPr>
          <w:rFonts w:hint="eastAsia" w:ascii="宋体" w:hAnsi="宋体" w:cs="仿宋_GB2312"/>
          <w:sz w:val="21"/>
          <w:szCs w:val="21"/>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1台为1包；</w:t>
      </w:r>
    </w:p>
    <w:p>
      <w:pPr>
        <w:spacing w:line="240" w:lineRule="auto"/>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u w:val="single"/>
          <w:lang w:val="en-US" w:eastAsia="zh-CN"/>
        </w:rPr>
        <w:t>采购</w:t>
      </w:r>
      <w:r>
        <w:rPr>
          <w:rFonts w:hint="eastAsia" w:ascii="宋体" w:hAnsi="宋体" w:eastAsia="宋体" w:cs="宋体"/>
          <w:i w:val="0"/>
          <w:color w:val="000000"/>
          <w:kern w:val="0"/>
          <w:sz w:val="21"/>
          <w:szCs w:val="21"/>
          <w:u w:val="single"/>
          <w:lang w:val="en-US" w:eastAsia="zh-CN" w:bidi="ar"/>
        </w:rPr>
        <w:t>48V尊领型PLUS</w:t>
      </w:r>
      <w:r>
        <w:rPr>
          <w:rFonts w:hint="eastAsia" w:ascii="宋体" w:hAnsi="宋体" w:cs="仿宋_GB2312"/>
          <w:sz w:val="21"/>
          <w:szCs w:val="21"/>
          <w:u w:val="single"/>
          <w:lang w:val="en-US" w:eastAsia="zh-CN"/>
        </w:rPr>
        <w:t xml:space="preserve"> 1</w:t>
      </w:r>
      <w:r>
        <w:rPr>
          <w:rFonts w:hint="eastAsia" w:ascii="Times New Roman" w:hAnsi="Times New Roman" w:cs="Times New Roman"/>
          <w:color w:val="auto"/>
          <w:sz w:val="21"/>
          <w:szCs w:val="21"/>
          <w:highlight w:val="none"/>
          <w:u w:val="single"/>
          <w:lang w:val="en-US" w:eastAsia="zh-CN"/>
        </w:rPr>
        <w:t>台</w:t>
      </w:r>
      <w:r>
        <w:rPr>
          <w:rFonts w:hint="eastAsia" w:ascii="Times New Roman" w:hAnsi="Times New Roman" w:cs="Times New Roman"/>
          <w:color w:val="auto"/>
          <w:sz w:val="21"/>
          <w:szCs w:val="22"/>
          <w:highlight w:val="none"/>
          <w:u w:val="single"/>
          <w:lang w:val="en-US" w:eastAsia="zh-CN"/>
        </w:rPr>
        <w:t xml:space="preserve">为2包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1包控制价20万元，2包控制价18万元（含车辆购置税）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2"/>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6388"/>
      <w:bookmarkStart w:id="21" w:name="_Toc31673_WPSOffice_Level2"/>
      <w:bookmarkStart w:id="22" w:name="_Toc22379_WPSOffice_Level2"/>
      <w:bookmarkStart w:id="23" w:name="_Toc525632587"/>
      <w:bookmarkStart w:id="24" w:name="_Toc29516_WPSOffice_Level2"/>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5666_WPSOffice_Level2"/>
      <w:bookmarkStart w:id="29" w:name="_Toc525632588"/>
      <w:bookmarkStart w:id="30" w:name="_Toc29452_WPSOffice_Level2"/>
      <w:bookmarkStart w:id="31" w:name="_Toc1994"/>
      <w:bookmarkStart w:id="32"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07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07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321_WPSOffice_Level2"/>
      <w:bookmarkStart w:id="39" w:name="_Toc20572_WPSOffice_Level2"/>
      <w:bookmarkStart w:id="40" w:name="_Toc8501"/>
      <w:bookmarkStart w:id="41" w:name="_Toc14943_WPSOffice_Level2"/>
      <w:bookmarkStart w:id="42" w:name="_Toc525632592"/>
      <w:bookmarkStart w:id="43" w:name="_Toc26829"/>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30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14201241"/>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15620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10"/>
        <w:ind w:left="0" w:leftChars="0" w:firstLine="0" w:firstLineChars="0"/>
        <w:jc w:val="both"/>
        <w:rPr>
          <w:rFonts w:hint="eastAsia" w:cs="宋体"/>
          <w:b/>
          <w:bCs/>
          <w:sz w:val="24"/>
          <w:szCs w:val="24"/>
          <w:u w:val="none"/>
        </w:rPr>
      </w:pPr>
      <w:r>
        <w:rPr>
          <w:rFonts w:hint="eastAsia" w:ascii="仿宋" w:hAnsi="仿宋" w:eastAsia="仿宋" w:cs="仿宋"/>
          <w:b/>
          <w:bCs/>
          <w:sz w:val="24"/>
          <w:szCs w:val="24"/>
          <w:lang w:val="en-US" w:eastAsia="zh-CN"/>
        </w:rPr>
        <w:t>（1）</w:t>
      </w:r>
      <w:r>
        <w:rPr>
          <w:rFonts w:hint="eastAsia" w:ascii="宋体" w:hAnsi="宋体" w:eastAsia="宋体" w:cs="宋体"/>
          <w:b/>
          <w:bCs/>
          <w:i w:val="0"/>
          <w:iCs w:val="0"/>
          <w:color w:val="000000"/>
          <w:kern w:val="0"/>
          <w:sz w:val="24"/>
          <w:szCs w:val="24"/>
          <w:u w:val="none"/>
          <w:lang w:val="en-US" w:eastAsia="zh-CN" w:bidi="ar"/>
        </w:rPr>
        <w:t>迈腾1.4T领先版</w:t>
      </w:r>
    </w:p>
    <w:tbl>
      <w:tblPr>
        <w:tblStyle w:val="11"/>
        <w:tblW w:w="9885" w:type="dxa"/>
        <w:tblInd w:w="93" w:type="dxa"/>
        <w:shd w:val="clear" w:color="auto" w:fill="auto"/>
        <w:tblLayout w:type="autofit"/>
        <w:tblCellMar>
          <w:top w:w="0" w:type="dxa"/>
          <w:left w:w="108" w:type="dxa"/>
          <w:bottom w:w="0" w:type="dxa"/>
          <w:right w:w="108" w:type="dxa"/>
        </w:tblCellMar>
      </w:tblPr>
      <w:tblGrid>
        <w:gridCol w:w="4176"/>
        <w:gridCol w:w="5709"/>
      </w:tblGrid>
      <w:tr>
        <w:tblPrEx>
          <w:shd w:val="clear" w:color="auto" w:fill="auto"/>
          <w:tblCellMar>
            <w:top w:w="0" w:type="dxa"/>
            <w:left w:w="108" w:type="dxa"/>
            <w:bottom w:w="0" w:type="dxa"/>
            <w:right w:w="108" w:type="dxa"/>
          </w:tblCellMar>
        </w:tblPrEx>
        <w:trPr>
          <w:trHeight w:val="540" w:hRule="atLeast"/>
        </w:trPr>
        <w:tc>
          <w:tcPr>
            <w:tcW w:w="988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迈腾1.4T领先版</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5座轿车</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总长（mm）总宽（mm）总高（mm）</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4865/1832/1471</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2871</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行李箱容积（L）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油箱容积（L）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整备质量（KG）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幻影黑</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1.4T 涡轮增压缸内直喷汽油发动机</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DSG七速双离合变速箱</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EA211-DJS/1.4T 150马力</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双离合变速箱（DCT）</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整车质保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三年或十万公里</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额定功率/转速（KW/rpm)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110/6000</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最大扭矩/转速（Nm/rpm)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250/3000</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综合工况油耗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原地起步连续换挡加速时间（s,0-100km)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前桥：麦弗逊式独立悬架/后桥：柔性多杆独立悬架</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ESP电动随速助力转向</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国六排放</w:t>
            </w:r>
          </w:p>
        </w:tc>
      </w:tr>
      <w:tr>
        <w:tblPrEx>
          <w:shd w:val="clear" w:color="auto" w:fill="auto"/>
          <w:tblCellMar>
            <w:top w:w="0" w:type="dxa"/>
            <w:left w:w="108" w:type="dxa"/>
            <w:bottom w:w="0" w:type="dxa"/>
            <w:right w:w="108" w:type="dxa"/>
          </w:tblCellMar>
        </w:tblPrEx>
        <w:trPr>
          <w:trHeight w:val="4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外观</w:t>
            </w:r>
            <w:r>
              <w:rPr>
                <w:rFonts w:hint="eastAsia" w:ascii="宋体" w:hAnsi="宋体" w:eastAsia="宋体" w:cs="宋体"/>
                <w:i w:val="0"/>
                <w:iCs w:val="0"/>
                <w:color w:val="000000"/>
                <w:kern w:val="0"/>
                <w:sz w:val="22"/>
                <w:szCs w:val="22"/>
                <w:u w:val="none"/>
                <w:lang w:val="en-US" w:eastAsia="zh-CN" w:bidi="ar"/>
              </w:rPr>
              <w:t>：.超大全景天窗、电动天窗遮阳帘、凌动全LED尾</w:t>
            </w:r>
            <w:r>
              <w:rPr>
                <w:rFonts w:hint="eastAsia" w:ascii="宋体" w:hAnsi="宋体" w:eastAsia="宋体" w:cs="宋体"/>
                <w:i w:val="0"/>
                <w:iCs w:val="0"/>
                <w:color w:val="auto"/>
                <w:kern w:val="0"/>
                <w:sz w:val="22"/>
                <w:szCs w:val="22"/>
                <w:u w:val="none"/>
                <w:lang w:val="en-US" w:eastAsia="zh-CN" w:bidi="ar"/>
              </w:rPr>
              <w:t>灯、17英寸铝合金轮毂、</w:t>
            </w:r>
            <w:r>
              <w:rPr>
                <w:rFonts w:hint="eastAsia" w:ascii="宋体" w:hAnsi="宋体" w:eastAsia="宋体" w:cs="宋体"/>
                <w:i w:val="0"/>
                <w:iCs w:val="0"/>
                <w:color w:val="auto"/>
                <w:kern w:val="0"/>
                <w:sz w:val="22"/>
                <w:szCs w:val="22"/>
                <w:u w:val="single"/>
                <w:lang w:val="en-US" w:eastAsia="zh-CN" w:bidi="ar"/>
              </w:rPr>
              <w:t xml:space="preserve">12向电动调节座椅  副驾驶电动座椅可调 定速巡航，自动防眩目后视镜，无钥匙进入，后备箱感应开启，电动折叠后视镜，前排座椅加热  </w:t>
            </w:r>
            <w:r>
              <w:rPr>
                <w:rFonts w:hint="eastAsia" w:ascii="宋体" w:hAnsi="宋体" w:eastAsia="宋体" w:cs="宋体"/>
                <w:i w:val="0"/>
                <w:iCs w:val="0"/>
                <w:color w:val="000000"/>
                <w:kern w:val="0"/>
                <w:sz w:val="22"/>
                <w:szCs w:val="22"/>
                <w:u w:val="none"/>
                <w:lang w:val="en-US" w:eastAsia="zh-CN" w:bidi="ar"/>
              </w:rPr>
              <w:t>LED日间行车灯、LED前雾灯。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安全</w:t>
            </w:r>
            <w:r>
              <w:rPr>
                <w:rFonts w:hint="eastAsia" w:ascii="宋体" w:hAnsi="宋体" w:eastAsia="宋体" w:cs="宋体"/>
                <w:i w:val="0"/>
                <w:iCs w:val="0"/>
                <w:color w:val="000000"/>
                <w:kern w:val="0"/>
                <w:sz w:val="22"/>
                <w:szCs w:val="22"/>
                <w:u w:val="none"/>
                <w:lang w:val="en-US" w:eastAsia="zh-CN" w:bidi="ar"/>
              </w:rPr>
              <w:t>：激光焊接技术、热成型钢板HSB高强度安全车身、智能在线防盗系统、前排正面双安全气囊、前排侧面双安全气囊、前后贯穿式两侧头部安全气帘、RVC泊车后视影像系统（大众徽标翻盖隐藏式摄像头）、EPB智能电子手刹+Autohold自动驻车、全功能ESP车身稳定系统（含ABS、ASR、HBA等多项拓展功能）、RKA智能胎压监测系统、MKE智能疲劳监测系统、），前/后8探头驻车雷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功能：外后视镜加热、电动调节功能（集成LED转向灯），.智能一键启动系统、顶棚USB充电接口（行车记录仪用）、CLEAN AIR PM2.5空气净化装置、、后排USB充电接口、顶棚USB接口（行车记录仪用）、CRS3.0智能信息娱乐系统：8.0英寸触摸彩屏。</w:t>
            </w:r>
          </w:p>
        </w:tc>
      </w:tr>
    </w:tbl>
    <w:p>
      <w:pPr>
        <w:pStyle w:val="10"/>
        <w:ind w:left="0" w:leftChars="0" w:firstLine="0" w:firstLineChars="0"/>
        <w:jc w:val="both"/>
        <w:rPr>
          <w:rFonts w:hint="eastAsia" w:cs="宋体"/>
          <w:sz w:val="28"/>
          <w:szCs w:val="28"/>
          <w:u w:val="none"/>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both"/>
        <w:rPr>
          <w:rFonts w:hint="eastAsia" w:ascii="仿宋" w:hAnsi="仿宋" w:eastAsia="仿宋" w:cs="仿宋"/>
          <w:b/>
          <w:bCs/>
          <w:sz w:val="28"/>
          <w:szCs w:val="28"/>
          <w:lang w:val="en-US" w:eastAsia="zh-CN"/>
        </w:rPr>
      </w:pPr>
    </w:p>
    <w:p>
      <w:pPr>
        <w:spacing w:line="240" w:lineRule="auto"/>
        <w:rPr>
          <w:rFonts w:hint="eastAsia" w:ascii="宋体" w:hAnsi="宋体" w:cs="仿宋_GB2312"/>
          <w:sz w:val="30"/>
          <w:szCs w:val="30"/>
          <w:lang w:val="en-US" w:eastAsia="zh-CN"/>
        </w:rPr>
      </w:pPr>
      <w:r>
        <w:rPr>
          <w:rFonts w:hint="eastAsia" w:ascii="宋体" w:hAnsi="宋体" w:cs="仿宋_GB2312"/>
          <w:sz w:val="30"/>
          <w:szCs w:val="30"/>
          <w:lang w:val="en-US" w:eastAsia="zh-CN"/>
        </w:rPr>
        <w:t>（2）</w:t>
      </w:r>
      <w:r>
        <w:rPr>
          <w:rFonts w:hint="eastAsia" w:ascii="宋体" w:hAnsi="宋体" w:eastAsia="宋体" w:cs="宋体"/>
          <w:i w:val="0"/>
          <w:color w:val="000000"/>
          <w:kern w:val="0"/>
          <w:sz w:val="24"/>
          <w:szCs w:val="24"/>
          <w:u w:val="none"/>
          <w:lang w:val="en-US" w:eastAsia="zh-CN" w:bidi="ar"/>
        </w:rPr>
        <w:t>48V尊领型PLUS</w:t>
      </w:r>
    </w:p>
    <w:tbl>
      <w:tblPr>
        <w:tblStyle w:val="11"/>
        <w:tblW w:w="8851" w:type="dxa"/>
        <w:jc w:val="center"/>
        <w:shd w:val="clear" w:color="auto" w:fill="auto"/>
        <w:tblLayout w:type="fixed"/>
        <w:tblCellMar>
          <w:top w:w="0" w:type="dxa"/>
          <w:left w:w="0" w:type="dxa"/>
          <w:bottom w:w="0" w:type="dxa"/>
          <w:right w:w="0" w:type="dxa"/>
        </w:tblCellMar>
      </w:tblPr>
      <w:tblGrid>
        <w:gridCol w:w="3444"/>
        <w:gridCol w:w="5407"/>
      </w:tblGrid>
      <w:tr>
        <w:tblPrEx>
          <w:shd w:val="clear" w:color="auto" w:fill="auto"/>
          <w:tblCellMar>
            <w:top w:w="0" w:type="dxa"/>
            <w:left w:w="0" w:type="dxa"/>
            <w:bottom w:w="0" w:type="dxa"/>
            <w:right w:w="0" w:type="dxa"/>
          </w:tblCellMar>
        </w:tblPrEx>
        <w:trPr>
          <w:trHeight w:val="52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ind w:firstLine="1200" w:firstLineChars="500"/>
              <w:jc w:val="both"/>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另加配置</w:t>
            </w:r>
          </w:p>
        </w:tc>
        <w:tc>
          <w:tcPr>
            <w:tcW w:w="5407"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包含喷漆和警灯装置</w:t>
            </w:r>
          </w:p>
        </w:tc>
      </w:tr>
      <w:tr>
        <w:tblPrEx>
          <w:shd w:val="clear" w:color="auto" w:fill="auto"/>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1.5T 140马力 L4</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变速箱</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CVT无级变速</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长×宽×高(mm)</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4580*1936*1674</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车身结构</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5门5座SUV</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工信部综合油耗(L)</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整车质保</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三年或10万公里</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轴距(mm)</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2716</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整备质量(Kg)</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油箱容积(L)</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行李厢容积(L)</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420-1120</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发动机型号</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进气形式</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涡轮增压</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压缩比</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11.42</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最大马力(Ps)</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最大功率(kW)</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最大功率转速(rpm)</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4500-5200</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最大扭矩(N·m)</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最大扭矩转速(rpm)</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1500-4000</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燃料形式</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汽油+48V轻混系统</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燃油标号</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92号</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环保标准</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驱动方式</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前置前驱</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前悬架类型</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麦弗逊式独立悬架</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后悬架类型</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多连杆式独立悬架</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助力类型</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电动助力</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车体结构</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承载式</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前制动器类型</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通风盘式</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后制动器类型</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盘式</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驻车制动类型</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电子驻车</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前轮胎规格</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235/50 R18</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后轮胎规格</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235/50 R18</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备胎规格</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非全尺寸</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主/副驾驶座安全气囊</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 副：●</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前/后排侧气囊</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 后：-</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前/后排头部气囊(气帘)</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 后：●</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膝部气囊</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胎压监测装置</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●胎压显示</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零胎压继续行驶</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安全带未系提示</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●前排</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ISOFIX儿童座椅接口</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发动机电子防盗</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车内中控锁</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遥控钥匙</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无钥匙启动系统</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无钥匙进入系统</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●前排</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ABS防抱死</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制动力分配(EBD/CBC等)</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刹车辅助(EBA/BAS/BA等)</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牵引力控制(ASR/TCS/TRC等)</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车身稳定控制(ESC/ESP/DSC等)</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自动驻车/上坡辅助</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自动驻车</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上坡辅助</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全景天窗</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车顶行李架</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真皮方向盘</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方向盘调节</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●手动上下+前后调节</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方向盘电动调节</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多功能方向盘</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全液晶仪表盘</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定速巡航</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●全速自适应巡航</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前/后驻车雷达</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倒车视频影像</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●360度全景影像</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真皮/仿皮座椅</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●真皮</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主/副驾驶座电动调节</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主●/副-</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前/后排座椅加热</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 后：-</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前/后中央扶手</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 后：●</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后排杯架</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GPS导航系统</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中控台彩色大屏</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●触控液晶屏</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蓝牙/车载电话</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扬声器数量</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●8喇叭</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近光灯</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远光灯</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日间行车灯</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自动头灯</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大灯高度可调</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大灯清洗装置</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车内氛围灯</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●7色</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前/后电动车窗</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 后：●</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车窗防夹手功能</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后视镜电动调节</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●电动调节●电动折叠●后视镜加热●锁车自动折叠</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后视镜加热</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内/外后视镜自动防眩目</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●自动防眩目</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后雨刷</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感应雨刷</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空调控制方式</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后排独立空调</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后座出风口</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自动泊车入位</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发动机启停技术</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并线辅助</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车道偏离预警系统</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主动刹车/主动安全系统</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jc w:val="center"/>
        </w:trPr>
        <w:tc>
          <w:tcPr>
            <w:tcW w:w="3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自适应巡航</w:t>
            </w:r>
          </w:p>
        </w:tc>
        <w:tc>
          <w:tcPr>
            <w:tcW w:w="5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2358"/>
        <w:gridCol w:w="874"/>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2358" w:type="dxa"/>
            <w:noWrap w:val="0"/>
            <w:vAlign w:val="center"/>
          </w:tcPr>
          <w:p>
            <w:pPr>
              <w:ind w:firstLine="0" w:firstLineChars="0"/>
              <w:jc w:val="center"/>
              <w:rPr>
                <w:sz w:val="30"/>
                <w:szCs w:val="30"/>
              </w:rPr>
            </w:pPr>
            <w:r>
              <w:rPr>
                <w:rFonts w:hint="eastAsia"/>
                <w:sz w:val="30"/>
                <w:szCs w:val="30"/>
              </w:rPr>
              <w:t>品牌型号</w:t>
            </w:r>
          </w:p>
        </w:tc>
        <w:tc>
          <w:tcPr>
            <w:tcW w:w="874"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Cs w:val="21"/>
              </w:rPr>
              <w:t>1</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轿</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车</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30"/>
                <w:szCs w:val="30"/>
              </w:rPr>
              <w:t xml:space="preserve"> </w:t>
            </w:r>
            <w:r>
              <w:rPr>
                <w:rFonts w:hint="eastAsia" w:cs="宋体"/>
                <w:sz w:val="30"/>
                <w:szCs w:val="30"/>
                <w:lang w:eastAsia="zh-CN"/>
              </w:rPr>
              <w:t>迈腾领先版</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kern w:val="2"/>
                <w:sz w:val="21"/>
                <w:szCs w:val="21"/>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2</w:t>
            </w:r>
          </w:p>
        </w:tc>
        <w:tc>
          <w:tcPr>
            <w:tcW w:w="1130" w:type="dxa"/>
            <w:noWrap w:val="0"/>
            <w:vAlign w:val="center"/>
          </w:tcPr>
          <w:p>
            <w:pPr>
              <w:spacing w:before="100" w:beforeAutospacing="1" w:after="100" w:afterAutospacing="1" w:line="360" w:lineRule="auto"/>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S U V</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ascii="宋体" w:hAnsi="宋体" w:eastAsia="宋体" w:cs="宋体"/>
                <w:i w:val="0"/>
                <w:color w:val="000000"/>
                <w:kern w:val="0"/>
                <w:sz w:val="30"/>
                <w:szCs w:val="30"/>
                <w:u w:val="none"/>
                <w:lang w:val="en-US" w:eastAsia="zh-CN" w:bidi="ar"/>
              </w:rPr>
              <w:t>48V尊领型PLUS</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1"/>
                <w:szCs w:val="21"/>
                <w:lang w:val="en-US" w:eastAsia="zh-CN" w:bidi="ar-SA"/>
              </w:rPr>
            </w:pPr>
            <w:r>
              <w:rPr>
                <w:rFonts w:hint="eastAsia" w:cs="宋体"/>
                <w:kern w:val="2"/>
                <w:sz w:val="21"/>
                <w:szCs w:val="21"/>
                <w:lang w:val="en-US" w:eastAsia="zh-CN" w:bidi="ar-SA"/>
              </w:rPr>
              <w:t>制式图案</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lang w:val="en-US" w:eastAsia="zh-CN"/>
              </w:rPr>
            </w:pPr>
          </w:p>
        </w:tc>
        <w:tc>
          <w:tcPr>
            <w:tcW w:w="1130" w:type="dxa"/>
            <w:noWrap w:val="0"/>
            <w:vAlign w:val="center"/>
          </w:tcPr>
          <w:p>
            <w:pPr>
              <w:spacing w:before="100" w:beforeAutospacing="1" w:after="100" w:afterAutospacing="1" w:line="360" w:lineRule="auto"/>
              <w:jc w:val="center"/>
              <w:rPr>
                <w:rFonts w:hint="eastAsia" w:ascii="宋体" w:hAnsi="宋体" w:eastAsia="宋体" w:cs="宋体"/>
                <w:kern w:val="2"/>
                <w:sz w:val="30"/>
                <w:szCs w:val="30"/>
                <w:lang w:val="en-US" w:eastAsia="zh-CN" w:bidi="ar-SA"/>
              </w:rPr>
            </w:pP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874" w:type="dxa"/>
            <w:noWrap w:val="0"/>
            <w:vAlign w:val="center"/>
          </w:tcPr>
          <w:p>
            <w:pPr>
              <w:ind w:firstLine="0" w:firstLineChars="0"/>
              <w:jc w:val="center"/>
              <w:rPr>
                <w:rFonts w:hint="eastAsia" w:ascii="宋体" w:hAnsi="宋体" w:eastAsia="宋体" w:cs="宋体"/>
                <w:sz w:val="30"/>
                <w:szCs w:val="30"/>
                <w:lang w:eastAsia="zh-CN"/>
              </w:rPr>
            </w:pPr>
          </w:p>
        </w:tc>
        <w:tc>
          <w:tcPr>
            <w:tcW w:w="966" w:type="dxa"/>
            <w:noWrap w:val="0"/>
            <w:vAlign w:val="center"/>
          </w:tcPr>
          <w:p>
            <w:pPr>
              <w:ind w:firstLine="0" w:firstLineChars="0"/>
              <w:jc w:val="center"/>
              <w:rPr>
                <w:rFonts w:hint="default" w:ascii="宋体" w:hAnsi="宋体" w:eastAsia="宋体" w:cs="宋体"/>
                <w:sz w:val="30"/>
                <w:szCs w:val="30"/>
                <w:lang w:val="en-US" w:eastAsia="zh-CN"/>
              </w:rPr>
            </w:pP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1"/>
                <w:szCs w:val="21"/>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2"/>
              <w:jc w:val="center"/>
              <w:rPr>
                <w:rFonts w:hint="eastAsia" w:ascii="宋体" w:hAnsi="宋体" w:eastAsia="宋体" w:cs="宋体"/>
                <w:lang w:val="en-US" w:eastAsia="zh-CN"/>
              </w:rPr>
            </w:pPr>
            <w:bookmarkStart w:id="93" w:name="_Toc9834_WPSOffice_Level1"/>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874" w:type="dxa"/>
            <w:noWrap w:val="0"/>
            <w:vAlign w:val="center"/>
          </w:tcPr>
          <w:p>
            <w:pPr>
              <w:ind w:firstLine="0" w:firstLineChars="0"/>
              <w:jc w:val="center"/>
              <w:rPr>
                <w:rFonts w:hint="eastAsia" w:ascii="宋体" w:hAnsi="宋体" w:eastAsia="宋体" w:cs="宋体"/>
                <w:sz w:val="30"/>
                <w:szCs w:val="30"/>
                <w:lang w:eastAsia="zh-CN"/>
              </w:rPr>
            </w:pPr>
          </w:p>
        </w:tc>
        <w:tc>
          <w:tcPr>
            <w:tcW w:w="966" w:type="dxa"/>
            <w:noWrap w:val="0"/>
            <w:vAlign w:val="center"/>
          </w:tcPr>
          <w:p>
            <w:pPr>
              <w:ind w:firstLine="0" w:firstLineChars="0"/>
              <w:jc w:val="center"/>
              <w:rPr>
                <w:rFonts w:hint="default" w:ascii="宋体" w:hAnsi="宋体" w:eastAsia="宋体" w:cs="宋体"/>
                <w:sz w:val="30"/>
                <w:szCs w:val="30"/>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914_WPSOffice_Level1"/>
      <w:bookmarkStart w:id="96" w:name="_Toc1739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6353_WPSOffice_Level1"/>
      <w:bookmarkStart w:id="105" w:name="_Toc11424_WPSOffice_Level1"/>
      <w:bookmarkStart w:id="106" w:name="_Toc23368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21229_WPSOffice_Level1"/>
      <w:bookmarkStart w:id="111" w:name="_Toc31927_WPSOffice_Level1"/>
      <w:bookmarkStart w:id="112" w:name="_Toc531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9085_WPSOffice_Level1"/>
      <w:bookmarkStart w:id="114" w:name="_Toc23356_WPSOffice_Level1"/>
      <w:bookmarkStart w:id="115" w:name="_Toc25965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23744_WPSOffice_Level1"/>
      <w:bookmarkStart w:id="119" w:name="_Toc10608_WPSOffice_Level1"/>
      <w:bookmarkStart w:id="120" w:name="_Toc7453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578_WPSOffice_Level1"/>
      <w:bookmarkStart w:id="122" w:name="_Toc23751_WPSOffice_Level1"/>
      <w:bookmarkStart w:id="123" w:name="_Toc9006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9399_WPSOffice_Level1"/>
      <w:bookmarkStart w:id="130" w:name="_Toc30031_WPSOffice_Level1"/>
      <w:bookmarkStart w:id="131" w:name="_Toc2765_WPSOffice_Level1"/>
      <w:bookmarkStart w:id="132" w:name="_Toc18312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8695_WPSOffice_Level1"/>
      <w:bookmarkStart w:id="135" w:name="_Toc18668_WPSOffice_Level1"/>
      <w:bookmarkStart w:id="136" w:name="_Toc12530_WPSOffice_Level1"/>
      <w:bookmarkStart w:id="137" w:name="_Toc14563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24567_WPSOffice_Level1"/>
      <w:bookmarkStart w:id="144" w:name="_Toc15186_WPSOffice_Level1"/>
      <w:bookmarkStart w:id="145" w:name="_Toc24530_WPSOffice_Level1"/>
      <w:bookmarkStart w:id="146" w:name="_Toc32085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7738_WPSOffice_Level1"/>
      <w:bookmarkStart w:id="149" w:name="_Toc22815_WPSOffice_Level1"/>
      <w:bookmarkStart w:id="150" w:name="_Toc10436_WPSOffice_Level1"/>
      <w:bookmarkStart w:id="151" w:name="_Toc31445_WPSOffice_Level1"/>
      <w:bookmarkStart w:id="152"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19004_WPSOffice_Level1"/>
      <w:bookmarkStart w:id="157" w:name="_Toc3772_WPSOffice_Level1"/>
      <w:bookmarkStart w:id="158" w:name="_Toc5072_WPSOffice_Level1"/>
      <w:bookmarkStart w:id="159" w:name="_Toc18547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3893_WPSOffice_Level1"/>
      <w:bookmarkStart w:id="161" w:name="_Toc30712_WPSOffice_Level1"/>
      <w:bookmarkStart w:id="162" w:name="_Toc9267_WPSOffice_Level1"/>
      <w:bookmarkStart w:id="163" w:name="_Toc12019_WPSOffice_Level1"/>
      <w:bookmarkStart w:id="164"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516AAC"/>
    <w:rsid w:val="016467FF"/>
    <w:rsid w:val="016F3AE4"/>
    <w:rsid w:val="028275B1"/>
    <w:rsid w:val="02D65DED"/>
    <w:rsid w:val="03380757"/>
    <w:rsid w:val="033E575A"/>
    <w:rsid w:val="038226D6"/>
    <w:rsid w:val="03B141EB"/>
    <w:rsid w:val="03DF68F4"/>
    <w:rsid w:val="03ED0A2F"/>
    <w:rsid w:val="04457667"/>
    <w:rsid w:val="04642508"/>
    <w:rsid w:val="052B12A4"/>
    <w:rsid w:val="06233674"/>
    <w:rsid w:val="08315767"/>
    <w:rsid w:val="08AC6280"/>
    <w:rsid w:val="08D840D9"/>
    <w:rsid w:val="09A35E85"/>
    <w:rsid w:val="0A3641B0"/>
    <w:rsid w:val="0A3769B7"/>
    <w:rsid w:val="0B8C0B40"/>
    <w:rsid w:val="0C210E8A"/>
    <w:rsid w:val="0C2D25CC"/>
    <w:rsid w:val="0C471C14"/>
    <w:rsid w:val="0C932008"/>
    <w:rsid w:val="0C954935"/>
    <w:rsid w:val="0CEE2538"/>
    <w:rsid w:val="0D421699"/>
    <w:rsid w:val="0DE55C13"/>
    <w:rsid w:val="0E3C6E1E"/>
    <w:rsid w:val="0EC70BFA"/>
    <w:rsid w:val="0EF55437"/>
    <w:rsid w:val="1055158F"/>
    <w:rsid w:val="107348E1"/>
    <w:rsid w:val="11B93700"/>
    <w:rsid w:val="11F4632B"/>
    <w:rsid w:val="12243423"/>
    <w:rsid w:val="12371F81"/>
    <w:rsid w:val="1237641B"/>
    <w:rsid w:val="12752E29"/>
    <w:rsid w:val="12845883"/>
    <w:rsid w:val="129B7928"/>
    <w:rsid w:val="1301017A"/>
    <w:rsid w:val="13EB2E20"/>
    <w:rsid w:val="143E047A"/>
    <w:rsid w:val="146A70C1"/>
    <w:rsid w:val="150A1554"/>
    <w:rsid w:val="156752D2"/>
    <w:rsid w:val="15C36A4E"/>
    <w:rsid w:val="16057AB2"/>
    <w:rsid w:val="17606543"/>
    <w:rsid w:val="1781794F"/>
    <w:rsid w:val="17F9165D"/>
    <w:rsid w:val="18555ABF"/>
    <w:rsid w:val="1943613C"/>
    <w:rsid w:val="199C3B12"/>
    <w:rsid w:val="19B34DB1"/>
    <w:rsid w:val="1B2136A5"/>
    <w:rsid w:val="1B7A2038"/>
    <w:rsid w:val="1B8B6665"/>
    <w:rsid w:val="1C8702AB"/>
    <w:rsid w:val="1D011989"/>
    <w:rsid w:val="1D1C4C9A"/>
    <w:rsid w:val="1D4318D2"/>
    <w:rsid w:val="1D435A83"/>
    <w:rsid w:val="1D582C93"/>
    <w:rsid w:val="1D6A0A81"/>
    <w:rsid w:val="1DEE3EE6"/>
    <w:rsid w:val="1EB01493"/>
    <w:rsid w:val="1EB45B84"/>
    <w:rsid w:val="1ED566BF"/>
    <w:rsid w:val="1F8841C9"/>
    <w:rsid w:val="1FC830F6"/>
    <w:rsid w:val="1FFF49B3"/>
    <w:rsid w:val="200A49DA"/>
    <w:rsid w:val="205B3A40"/>
    <w:rsid w:val="209A4709"/>
    <w:rsid w:val="20A32AD4"/>
    <w:rsid w:val="21303DB9"/>
    <w:rsid w:val="217F414A"/>
    <w:rsid w:val="21957A4E"/>
    <w:rsid w:val="21D11C50"/>
    <w:rsid w:val="21FC1CC5"/>
    <w:rsid w:val="220F22ED"/>
    <w:rsid w:val="22290B71"/>
    <w:rsid w:val="228C37EE"/>
    <w:rsid w:val="23202A87"/>
    <w:rsid w:val="23533555"/>
    <w:rsid w:val="235C166E"/>
    <w:rsid w:val="23B5629D"/>
    <w:rsid w:val="249A29C0"/>
    <w:rsid w:val="24C22F3D"/>
    <w:rsid w:val="24CC38EA"/>
    <w:rsid w:val="2507530A"/>
    <w:rsid w:val="252C2973"/>
    <w:rsid w:val="25D376ED"/>
    <w:rsid w:val="26505959"/>
    <w:rsid w:val="26AC54AE"/>
    <w:rsid w:val="26AE35E3"/>
    <w:rsid w:val="270A6B81"/>
    <w:rsid w:val="27224050"/>
    <w:rsid w:val="27573233"/>
    <w:rsid w:val="276F5392"/>
    <w:rsid w:val="276F78A4"/>
    <w:rsid w:val="27A22B9A"/>
    <w:rsid w:val="27E17707"/>
    <w:rsid w:val="28CB2405"/>
    <w:rsid w:val="28FD4C25"/>
    <w:rsid w:val="298E4667"/>
    <w:rsid w:val="29AC15DA"/>
    <w:rsid w:val="2A9758C1"/>
    <w:rsid w:val="2AA2330A"/>
    <w:rsid w:val="2AA86D0F"/>
    <w:rsid w:val="2AC0255C"/>
    <w:rsid w:val="2ACA3C75"/>
    <w:rsid w:val="2B1C6134"/>
    <w:rsid w:val="2B752198"/>
    <w:rsid w:val="2CCB157B"/>
    <w:rsid w:val="2D044DD1"/>
    <w:rsid w:val="2D4633AE"/>
    <w:rsid w:val="2D5E7110"/>
    <w:rsid w:val="2D853AD8"/>
    <w:rsid w:val="2D8B655F"/>
    <w:rsid w:val="2E452391"/>
    <w:rsid w:val="2E5113E2"/>
    <w:rsid w:val="2E704C0F"/>
    <w:rsid w:val="2EBF392D"/>
    <w:rsid w:val="2F1C5807"/>
    <w:rsid w:val="2F21432D"/>
    <w:rsid w:val="2F7E56E8"/>
    <w:rsid w:val="300C6F30"/>
    <w:rsid w:val="30B751B3"/>
    <w:rsid w:val="30EF615D"/>
    <w:rsid w:val="31CB160E"/>
    <w:rsid w:val="32A15D40"/>
    <w:rsid w:val="32E2300A"/>
    <w:rsid w:val="3356659E"/>
    <w:rsid w:val="33A67436"/>
    <w:rsid w:val="33FF7757"/>
    <w:rsid w:val="346C40F4"/>
    <w:rsid w:val="35C87EEC"/>
    <w:rsid w:val="368558B3"/>
    <w:rsid w:val="36876E6A"/>
    <w:rsid w:val="36980DD0"/>
    <w:rsid w:val="36C0156D"/>
    <w:rsid w:val="36CF4BC1"/>
    <w:rsid w:val="371B6C62"/>
    <w:rsid w:val="379940D4"/>
    <w:rsid w:val="37E57834"/>
    <w:rsid w:val="383261D0"/>
    <w:rsid w:val="385D1023"/>
    <w:rsid w:val="38646884"/>
    <w:rsid w:val="38910860"/>
    <w:rsid w:val="38BA0741"/>
    <w:rsid w:val="38C64F92"/>
    <w:rsid w:val="39266477"/>
    <w:rsid w:val="398F73DC"/>
    <w:rsid w:val="39C01BBA"/>
    <w:rsid w:val="3A085BAA"/>
    <w:rsid w:val="3AB3450A"/>
    <w:rsid w:val="3AB73885"/>
    <w:rsid w:val="3AD155B7"/>
    <w:rsid w:val="3AFA4DDD"/>
    <w:rsid w:val="3B41700C"/>
    <w:rsid w:val="3B4336D5"/>
    <w:rsid w:val="3BBE774B"/>
    <w:rsid w:val="3CC669C0"/>
    <w:rsid w:val="3CCC78C1"/>
    <w:rsid w:val="3D191420"/>
    <w:rsid w:val="3DC64303"/>
    <w:rsid w:val="3E234CC4"/>
    <w:rsid w:val="3ECD7713"/>
    <w:rsid w:val="3ECE2C18"/>
    <w:rsid w:val="3F413CC5"/>
    <w:rsid w:val="405F54C4"/>
    <w:rsid w:val="414810A7"/>
    <w:rsid w:val="4173688E"/>
    <w:rsid w:val="417807D9"/>
    <w:rsid w:val="418D27F5"/>
    <w:rsid w:val="41AC141A"/>
    <w:rsid w:val="42621B82"/>
    <w:rsid w:val="42CA1067"/>
    <w:rsid w:val="42E63A7F"/>
    <w:rsid w:val="43541CB0"/>
    <w:rsid w:val="43C646E2"/>
    <w:rsid w:val="44190C7C"/>
    <w:rsid w:val="45341E5B"/>
    <w:rsid w:val="454F1443"/>
    <w:rsid w:val="45A61A3F"/>
    <w:rsid w:val="45E2131C"/>
    <w:rsid w:val="46160757"/>
    <w:rsid w:val="46CA2A30"/>
    <w:rsid w:val="46E55EA9"/>
    <w:rsid w:val="46E903F6"/>
    <w:rsid w:val="471A08BE"/>
    <w:rsid w:val="47407861"/>
    <w:rsid w:val="4791799F"/>
    <w:rsid w:val="483010A5"/>
    <w:rsid w:val="48D51D8B"/>
    <w:rsid w:val="4A1A4DC2"/>
    <w:rsid w:val="4A6E2D05"/>
    <w:rsid w:val="4B4E0FC1"/>
    <w:rsid w:val="4B8143F2"/>
    <w:rsid w:val="4BC624A8"/>
    <w:rsid w:val="4CDC10F5"/>
    <w:rsid w:val="4CE67327"/>
    <w:rsid w:val="4CEB61EE"/>
    <w:rsid w:val="4D640D09"/>
    <w:rsid w:val="4D934E46"/>
    <w:rsid w:val="4DAB5909"/>
    <w:rsid w:val="4DCD56A8"/>
    <w:rsid w:val="4E4E3891"/>
    <w:rsid w:val="4E9D1C1C"/>
    <w:rsid w:val="4EAF1CC4"/>
    <w:rsid w:val="4EEF6771"/>
    <w:rsid w:val="4F4B5944"/>
    <w:rsid w:val="4FBD2661"/>
    <w:rsid w:val="50527900"/>
    <w:rsid w:val="512B60B4"/>
    <w:rsid w:val="51C621E0"/>
    <w:rsid w:val="51D05EF0"/>
    <w:rsid w:val="52A9097C"/>
    <w:rsid w:val="52B54EDC"/>
    <w:rsid w:val="52EC44CE"/>
    <w:rsid w:val="5392540C"/>
    <w:rsid w:val="56E01E7C"/>
    <w:rsid w:val="56FF2C87"/>
    <w:rsid w:val="57083261"/>
    <w:rsid w:val="57735468"/>
    <w:rsid w:val="57AC473C"/>
    <w:rsid w:val="58033794"/>
    <w:rsid w:val="58212766"/>
    <w:rsid w:val="583B5BED"/>
    <w:rsid w:val="58575B08"/>
    <w:rsid w:val="59020C98"/>
    <w:rsid w:val="59A76356"/>
    <w:rsid w:val="5B1001B5"/>
    <w:rsid w:val="5B53605F"/>
    <w:rsid w:val="5B811F6C"/>
    <w:rsid w:val="5BCF6F3C"/>
    <w:rsid w:val="5BD55463"/>
    <w:rsid w:val="5BD64EC0"/>
    <w:rsid w:val="5CC6567E"/>
    <w:rsid w:val="5DCF2540"/>
    <w:rsid w:val="5DDE0A36"/>
    <w:rsid w:val="5DE9733D"/>
    <w:rsid w:val="5DED6180"/>
    <w:rsid w:val="5E9D79FE"/>
    <w:rsid w:val="60094922"/>
    <w:rsid w:val="600E1AEF"/>
    <w:rsid w:val="604A5077"/>
    <w:rsid w:val="60A14466"/>
    <w:rsid w:val="6107582C"/>
    <w:rsid w:val="61D740F7"/>
    <w:rsid w:val="6228683D"/>
    <w:rsid w:val="62756CE9"/>
    <w:rsid w:val="6294722E"/>
    <w:rsid w:val="62E56056"/>
    <w:rsid w:val="63023C14"/>
    <w:rsid w:val="63295801"/>
    <w:rsid w:val="638B6757"/>
    <w:rsid w:val="639E2905"/>
    <w:rsid w:val="64BD6E2A"/>
    <w:rsid w:val="64C67E05"/>
    <w:rsid w:val="64CF0127"/>
    <w:rsid w:val="64DA2E60"/>
    <w:rsid w:val="65283AF6"/>
    <w:rsid w:val="658D79B1"/>
    <w:rsid w:val="65E06B45"/>
    <w:rsid w:val="664E5351"/>
    <w:rsid w:val="66503496"/>
    <w:rsid w:val="66595BE2"/>
    <w:rsid w:val="66AE3981"/>
    <w:rsid w:val="66ED6329"/>
    <w:rsid w:val="6777089F"/>
    <w:rsid w:val="68920D3E"/>
    <w:rsid w:val="68E44CD3"/>
    <w:rsid w:val="692F3612"/>
    <w:rsid w:val="69692F41"/>
    <w:rsid w:val="699A4896"/>
    <w:rsid w:val="6A09181B"/>
    <w:rsid w:val="6A4C25E5"/>
    <w:rsid w:val="6A515F00"/>
    <w:rsid w:val="6AA0506A"/>
    <w:rsid w:val="6ADD5CBB"/>
    <w:rsid w:val="6B804D34"/>
    <w:rsid w:val="6B922CD6"/>
    <w:rsid w:val="6B9532DD"/>
    <w:rsid w:val="6C0356D1"/>
    <w:rsid w:val="6CF56B79"/>
    <w:rsid w:val="6D407B93"/>
    <w:rsid w:val="6D7A5E4E"/>
    <w:rsid w:val="6DA90B58"/>
    <w:rsid w:val="6DB0119C"/>
    <w:rsid w:val="6DBC0C33"/>
    <w:rsid w:val="6E2C2401"/>
    <w:rsid w:val="6E4E2C42"/>
    <w:rsid w:val="6E5227E6"/>
    <w:rsid w:val="6E680A74"/>
    <w:rsid w:val="6F5959E9"/>
    <w:rsid w:val="6F7D4D72"/>
    <w:rsid w:val="6FBF6389"/>
    <w:rsid w:val="6FC753E3"/>
    <w:rsid w:val="70CC3C5C"/>
    <w:rsid w:val="70E66DDE"/>
    <w:rsid w:val="710D33C2"/>
    <w:rsid w:val="71F83650"/>
    <w:rsid w:val="73253CEE"/>
    <w:rsid w:val="74070CA0"/>
    <w:rsid w:val="7481099D"/>
    <w:rsid w:val="748E118B"/>
    <w:rsid w:val="74B57A32"/>
    <w:rsid w:val="74E16D8B"/>
    <w:rsid w:val="751C632F"/>
    <w:rsid w:val="75991092"/>
    <w:rsid w:val="76373B59"/>
    <w:rsid w:val="765B6B67"/>
    <w:rsid w:val="765F6F55"/>
    <w:rsid w:val="769B5423"/>
    <w:rsid w:val="76D600D5"/>
    <w:rsid w:val="77A870F8"/>
    <w:rsid w:val="77C853D2"/>
    <w:rsid w:val="77D9063B"/>
    <w:rsid w:val="78474B5C"/>
    <w:rsid w:val="78FC7191"/>
    <w:rsid w:val="79714322"/>
    <w:rsid w:val="79F253C4"/>
    <w:rsid w:val="7A263D9D"/>
    <w:rsid w:val="7A2D254D"/>
    <w:rsid w:val="7A6E4C98"/>
    <w:rsid w:val="7AC22E37"/>
    <w:rsid w:val="7B0574E9"/>
    <w:rsid w:val="7B091377"/>
    <w:rsid w:val="7B367327"/>
    <w:rsid w:val="7B5E2AA7"/>
    <w:rsid w:val="7BF7759F"/>
    <w:rsid w:val="7C366D83"/>
    <w:rsid w:val="7C3A02AB"/>
    <w:rsid w:val="7CB163F4"/>
    <w:rsid w:val="7CD4053F"/>
    <w:rsid w:val="7D650780"/>
    <w:rsid w:val="7D796EE5"/>
    <w:rsid w:val="7D947886"/>
    <w:rsid w:val="7DE91C2E"/>
    <w:rsid w:val="7E0247C5"/>
    <w:rsid w:val="7E3D10ED"/>
    <w:rsid w:val="7EA652E1"/>
    <w:rsid w:val="7EAD7C73"/>
    <w:rsid w:val="7ED656C1"/>
    <w:rsid w:val="7EF11A57"/>
    <w:rsid w:val="7F5B6C76"/>
    <w:rsid w:val="7FA2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default" w:ascii="Times New Roman" w:hAnsi="Times New Roman" w:cs="Times New Roman"/>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 w:type="character" w:customStyle="1" w:styleId="24">
    <w:name w:val="font51"/>
    <w:basedOn w:val="13"/>
    <w:qFormat/>
    <w:uiPriority w:val="0"/>
    <w:rPr>
      <w:rFonts w:ascii="Calibri" w:hAnsi="Calibri" w:cs="Calibri"/>
      <w:color w:val="000000"/>
      <w:sz w:val="24"/>
      <w:szCs w:val="24"/>
      <w:u w:val="none"/>
    </w:rPr>
  </w:style>
  <w:style w:type="character" w:customStyle="1" w:styleId="25">
    <w:name w:val="font21"/>
    <w:basedOn w:val="13"/>
    <w:qFormat/>
    <w:uiPriority w:val="0"/>
    <w:rPr>
      <w:rFonts w:hint="eastAsia" w:ascii="宋体" w:hAnsi="宋体" w:eastAsia="宋体" w:cs="宋体"/>
      <w:b/>
      <w:bCs/>
      <w:color w:val="000000"/>
      <w:sz w:val="20"/>
      <w:szCs w:val="20"/>
      <w:u w:val="none"/>
    </w:rPr>
  </w:style>
  <w:style w:type="character" w:customStyle="1" w:styleId="26">
    <w:name w:val="font81"/>
    <w:basedOn w:val="13"/>
    <w:qFormat/>
    <w:uiPriority w:val="0"/>
    <w:rPr>
      <w:rFonts w:hint="default" w:ascii="Times New Roman" w:hAnsi="Times New Roman" w:cs="Times New Roman"/>
      <w:b/>
      <w:bCs/>
      <w:color w:val="000000"/>
      <w:sz w:val="20"/>
      <w:szCs w:val="20"/>
      <w:u w:val="none"/>
    </w:rPr>
  </w:style>
  <w:style w:type="character" w:customStyle="1" w:styleId="27">
    <w:name w:val="font41"/>
    <w:basedOn w:val="13"/>
    <w:uiPriority w:val="0"/>
    <w:rPr>
      <w:rFonts w:hint="eastAsia" w:ascii="宋体" w:hAnsi="宋体" w:eastAsia="宋体" w:cs="宋体"/>
      <w:color w:val="000000"/>
      <w:sz w:val="20"/>
      <w:szCs w:val="20"/>
      <w:u w:val="none"/>
    </w:rPr>
  </w:style>
  <w:style w:type="character" w:customStyle="1" w:styleId="28">
    <w:name w:val="font71"/>
    <w:basedOn w:val="13"/>
    <w:uiPriority w:val="0"/>
    <w:rPr>
      <w:rFonts w:hint="eastAsia" w:ascii="宋体" w:hAnsi="宋体" w:eastAsia="宋体" w:cs="宋体"/>
      <w:b/>
      <w:bCs/>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2021-05-07T08:19:22Z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9287CD1DB6F74A3D9E0854E8BB5C20FA</vt:lpwstr>
  </property>
</Properties>
</file>