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5.10商务车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10395_WPSOffice_Level2"/>
      <w:bookmarkStart w:id="5" w:name="_Toc525632585"/>
      <w:bookmarkStart w:id="6" w:name="_Toc4489_WPSOffice_Level2"/>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2022年安徽交运集团汽车销售有限公司5.10商务车采购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3台商务车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single"/>
          <w:lang w:val="en-US" w:eastAsia="zh-CN"/>
        </w:rPr>
        <w:t>采购3台商务车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 xml:space="preserve">无分包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控制价60万元（包含车辆购置税）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每个供应商无需对合同包进行分开报价，报价需含销售差价。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31673_WPSOffice_Level2"/>
      <w:bookmarkStart w:id="21" w:name="_Toc22379_WPSOffice_Level2"/>
      <w:bookmarkStart w:id="22" w:name="_Toc3714"/>
      <w:bookmarkStart w:id="23" w:name="_Toc525632587"/>
      <w:bookmarkStart w:id="24" w:name="_Toc29516_WPSOffice_Level2"/>
      <w:bookmarkStart w:id="25" w:name="_Toc6388"/>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525632588"/>
      <w:bookmarkStart w:id="28" w:name="_Toc29452_WPSOffice_Level2"/>
      <w:bookmarkStart w:id="29" w:name="_Toc4109_WPSOffice_Level2"/>
      <w:bookmarkStart w:id="30" w:name="_Toc4751"/>
      <w:bookmarkStart w:id="31" w:name="_Toc1994"/>
      <w:bookmarkStart w:id="32" w:name="_Toc2566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5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13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5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13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numPr>
          <w:numId w:val="0"/>
        </w:numPr>
        <w:ind w:leftChars="0"/>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w:t>
      </w:r>
      <w:bookmarkStart w:id="140" w:name="_GoBack"/>
      <w:bookmarkEnd w:id="140"/>
      <w:r>
        <w:rPr>
          <w:rFonts w:hint="eastAsia" w:ascii="宋体" w:hAnsi="宋体" w:eastAsia="宋体" w:cs="宋体"/>
          <w:b w:val="0"/>
          <w:bCs w:val="0"/>
          <w:sz w:val="30"/>
          <w:szCs w:val="30"/>
          <w:lang w:val="en-US" w:eastAsia="zh-CN"/>
        </w:rPr>
        <w:t>传祺M8领秀豪华型</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tbl>
      <w:tblPr>
        <w:tblStyle w:val="12"/>
        <w:tblW w:w="8841" w:type="dxa"/>
        <w:tblInd w:w="93" w:type="dxa"/>
        <w:shd w:val="clear" w:color="auto" w:fill="auto"/>
        <w:tblLayout w:type="autofit"/>
        <w:tblCellMar>
          <w:top w:w="0" w:type="dxa"/>
          <w:left w:w="108" w:type="dxa"/>
          <w:bottom w:w="0" w:type="dxa"/>
          <w:right w:w="108" w:type="dxa"/>
        </w:tblCellMar>
      </w:tblPr>
      <w:tblGrid>
        <w:gridCol w:w="2655"/>
        <w:gridCol w:w="6186"/>
      </w:tblGrid>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技术参数</w:t>
            </w:r>
          </w:p>
        </w:tc>
      </w:tr>
      <w:tr>
        <w:tblPrEx>
          <w:shd w:val="clear" w:color="auto" w:fill="auto"/>
          <w:tblCellMar>
            <w:top w:w="0" w:type="dxa"/>
            <w:left w:w="108" w:type="dxa"/>
            <w:bottom w:w="0" w:type="dxa"/>
            <w:right w:w="108" w:type="dxa"/>
          </w:tblCellMar>
        </w:tblPrEx>
        <w:trPr>
          <w:trHeight w:val="270"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长 × 宽 × 高(mm)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5089 × 1884 × 1822</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轴距(mm)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3000</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油箱容积(L)</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65</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整备质量(kg)</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2020</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传祺第三代390T缸内直喷涡轮增压发动机</w:t>
            </w:r>
          </w:p>
        </w:tc>
      </w:tr>
      <w:tr>
        <w:tblPrEx>
          <w:shd w:val="clear" w:color="auto" w:fill="auto"/>
          <w:tblCellMar>
            <w:top w:w="0" w:type="dxa"/>
            <w:left w:w="108" w:type="dxa"/>
            <w:bottom w:w="0" w:type="dxa"/>
            <w:right w:w="108" w:type="dxa"/>
          </w:tblCellMar>
        </w:tblPrEx>
        <w:trPr>
          <w:trHeight w:val="52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主要发动机技术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全新350bar高压缸内直喷技术、电控可变机油泵技术、低惯量E-Turbo增压技术、GCCS燃烧控制技术、DCVVT双连续可变气门正时技术</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排量(cc)</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1991</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最大功率/转速(kW/rpm)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185/5250</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最大扭矩/转速(Nm/rpm)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390/1750-4000</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变速箱形式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爱信8速变速箱</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综合工况油耗（L/100km）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8.3</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悬挂系统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前麦弗逊式独立悬挂/后多连杆独立悬挂</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前通风盘式/后盘式</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EPS电动助力转向系统</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排放标准</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国Ⅵ</w:t>
            </w:r>
          </w:p>
        </w:tc>
      </w:tr>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装备配置</w:t>
            </w:r>
          </w:p>
        </w:tc>
      </w:tr>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威严霸气外观</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贯穿式凌云翼镀铬前格栅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光盾式震天翼镀铬前格栅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矩阵式LED前大灯(带高度自动调节/延时关闭/未关警示)</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前大灯自动感应开启/关闭</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HMA智能远光灯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流线光导LED日间行车灯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横向贯穿式LED组合尾灯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飞翼式扰流板带LED高位刹车灯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外后视镜集成LED转向灯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外后视镜集成LED迎宾照明灯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外后视镜电动调节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外后视镜电加热功能/电动折叠/锁车自动折叠</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外后视镜智能记忆功能（与驾驶座联动，带倒车翻转功能）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17英寸铝合金轮辋 + 225/60 R17轮胎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18英寸璀璨双色铝合金轮辋 + 225/55 R18轮胎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18英寸律动电镀铝合金轮辋 + 225/55 R18轮胎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家族隐藏式D柱设计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尊贵后排车窗及后挡风隐私玻璃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车窗上部镀铬饰条+侧裙镀铬饰条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精致镀铬装饰门把手</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镀铬双边双出排气管饰件</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双侧“L”型电镀饰件及连贯式尾排</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可变间歇式无骨雨刮+隐藏式后挡风雨刮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雨量感应式自动雨刮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MASTER专属车标</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贵宾礼遇座舱</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"昼享空间"棕米内饰</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"摩登绅士"蓝黑内饰</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游艇式轻奢优雅环抱座舱</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水晶质感电子换挡杆</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真皮方向盘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四向调节多功能方向盘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超大尺寸全景双天窗</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内藏式防夹电动天窗</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智能32色可调LED氛围灯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豪华真皮座椅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皮/织物混拼座椅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驾驶座椅电动6向调节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驾驶座椅电动8向调节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驾驶座智能记忆功能（与外后视镜联动，带迎宾功能）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驾驶座4向气动腰靠</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副驾驶座椅手动4向调节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副驾驶座椅电动4向调节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前排座椅高中低三模式智能加热/通风功能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二排尊享独立头等舱座椅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二排座椅电动腿托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二排座椅高中低三模式智能加热/通风功能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二排座椅按摩功能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二排座椅睡眠头枕</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二排座椅固定式扶手</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二排座椅靠背手动调节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二排座椅靠背电动调节（带右侧座椅USB接口）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二排座椅小桌板（带水杯支架、储物格）</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三排座椅靠背手动调节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三排座椅6:4分体折叠翻转</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三排座椅中央头枕</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第二/三排顶置空调出风口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三区独立控制自动恒温空调（带后排独立空调控制面板）</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AQS空气质量控制系统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等离子森林氧吧空气净化系统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车规级CN95高效空调滤芯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后备箱带12V电源接口/照明灯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360全方位超静谧车内空间及超低VOC车内环境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迎宾踏板</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无忧安享智能安全</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GAC高强度安全车身设计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前排双安全气囊+前排侧安全气囊</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窗帘式侧气帘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博世ESP 9.3车辆电子稳定控制系统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博世ABS防抱死制动系统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博世EBD电子制动力分配系统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博世TCS牵引力控制系统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博世HBA紧急制动辅助系统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博世HHC上坡辅助系统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博世HDC下坡辅助系统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博世RMI防侧翻系统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4探头后倒车雷达</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TPMS直接式智能胎压监测系统(带行车电脑直接显示功能)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EPB电子驻车制动系统(带Auto Hold自动驻车功能）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全车三点式安全带</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前排预紧限力式安全带（高度可调）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前排双预紧限力式安全带（高度可调）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二排预紧限力式安全带</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前排座椅安全带未系灯光提示及报警功能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ISOFIX儿童安全座椅车身固定装置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后排车门儿童安全门锁</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发动机防盗锁止系统(带防盗报警功能)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30"/>
                <w:szCs w:val="30"/>
                <w:u w:val="none"/>
              </w:rPr>
            </w:pPr>
            <w:r>
              <w:rPr>
                <w:rFonts w:hint="eastAsia" w:ascii="宋体" w:hAnsi="宋体" w:eastAsia="宋体" w:cs="宋体"/>
                <w:b w:val="0"/>
                <w:bCs w:val="0"/>
                <w:i w:val="0"/>
                <w:iCs w:val="0"/>
                <w:color w:val="333333"/>
                <w:kern w:val="0"/>
                <w:sz w:val="30"/>
                <w:szCs w:val="30"/>
                <w:u w:val="none"/>
                <w:lang w:val="en-US" w:eastAsia="zh-CN" w:bidi="ar"/>
              </w:rPr>
              <w:t>领先智慧科技</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12.3英寸全液晶仪表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7英寸液晶组合仪表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10.1英寸全彩液晶中控大屏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ADiGO智能物联系统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北斗/GPS双模式在线导航系统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智慧传祺T-BOX智能手机远程监控安防系统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广小祺四音区语音系统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智能手机互联功能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车载蓝牙免提系统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手机无线充电功能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前排及二排USB充电接口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10扬声器哈曼Infinity品牌音响（带独立功放）</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8扬声器高保真音响</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6扬声器高保真音响</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音响音量随车速调节功能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四屏互联后排娱乐系统（双10.1英寸液晶显示屏）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电动双侧滑门（遥控开启、防夹）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电动单侧滑门（遥控开启、防夹）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手动双侧滑移门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手动掀背尾门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EasyOpen电动尾门智能感应开启功能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PEPS无钥匙进入系统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一键启动系统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ECO智能化绿色节能模式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Start-Stop智能节油启停系统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内后视镜自动防眩目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主驾驶窗一触式升降带防夹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副驾驶窗一触式升降带防夹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8841" w:type="dxa"/>
            <w:gridSpan w:val="2"/>
            <w:vMerge w:val="restart"/>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备注：</w:t>
            </w:r>
            <w:r>
              <w:rPr>
                <w:rFonts w:hint="eastAsia" w:ascii="宋体" w:hAnsi="宋体" w:eastAsia="宋体" w:cs="宋体"/>
                <w:b w:val="0"/>
                <w:bCs w:val="0"/>
                <w:i w:val="0"/>
                <w:iCs w:val="0"/>
                <w:color w:val="333333"/>
                <w:kern w:val="0"/>
                <w:sz w:val="21"/>
                <w:szCs w:val="21"/>
                <w:u w:val="none"/>
                <w:lang w:val="en-US" w:eastAsia="zh-CN" w:bidi="ar"/>
              </w:rPr>
              <w:br w:type="textWrapping"/>
            </w:r>
            <w:r>
              <w:rPr>
                <w:rFonts w:hint="eastAsia" w:ascii="宋体" w:hAnsi="宋体" w:eastAsia="宋体" w:cs="宋体"/>
                <w:b w:val="0"/>
                <w:bCs w:val="0"/>
                <w:i w:val="0"/>
                <w:iCs w:val="0"/>
                <w:color w:val="333333"/>
                <w:kern w:val="0"/>
                <w:sz w:val="21"/>
                <w:szCs w:val="21"/>
                <w:u w:val="none"/>
                <w:lang w:val="en-US" w:eastAsia="zh-CN" w:bidi="ar"/>
              </w:rPr>
              <w:t>1.“●”表示有此装备；“—”表示无此装备，"○"表示选装；</w:t>
            </w:r>
            <w:r>
              <w:rPr>
                <w:rFonts w:hint="eastAsia" w:ascii="宋体" w:hAnsi="宋体" w:eastAsia="宋体" w:cs="宋体"/>
                <w:b w:val="0"/>
                <w:bCs w:val="0"/>
                <w:i w:val="0"/>
                <w:iCs w:val="0"/>
                <w:color w:val="333333"/>
                <w:kern w:val="0"/>
                <w:sz w:val="21"/>
                <w:szCs w:val="21"/>
                <w:u w:val="none"/>
                <w:lang w:val="en-US" w:eastAsia="zh-CN" w:bidi="ar"/>
              </w:rPr>
              <w:br w:type="textWrapping"/>
            </w:r>
            <w:r>
              <w:rPr>
                <w:rFonts w:hint="eastAsia" w:ascii="宋体" w:hAnsi="宋体" w:eastAsia="宋体" w:cs="宋体"/>
                <w:b w:val="0"/>
                <w:bCs w:val="0"/>
                <w:i w:val="0"/>
                <w:iCs w:val="0"/>
                <w:color w:val="333333"/>
                <w:kern w:val="0"/>
                <w:sz w:val="21"/>
                <w:szCs w:val="21"/>
                <w:u w:val="none"/>
                <w:lang w:val="en-US" w:eastAsia="zh-CN" w:bidi="ar"/>
              </w:rPr>
              <w:t>2.“真皮座椅”主要接触面为真皮，部分为合成皮材质；</w:t>
            </w:r>
            <w:r>
              <w:rPr>
                <w:rFonts w:hint="eastAsia" w:ascii="宋体" w:hAnsi="宋体" w:eastAsia="宋体" w:cs="宋体"/>
                <w:b w:val="0"/>
                <w:bCs w:val="0"/>
                <w:i w:val="0"/>
                <w:iCs w:val="0"/>
                <w:color w:val="333333"/>
                <w:kern w:val="0"/>
                <w:sz w:val="21"/>
                <w:szCs w:val="21"/>
                <w:u w:val="none"/>
                <w:lang w:val="en-US" w:eastAsia="zh-CN" w:bidi="ar"/>
              </w:rPr>
              <w:br w:type="textWrapping"/>
            </w:r>
          </w:p>
        </w:tc>
      </w:tr>
      <w:tr>
        <w:tblPrEx>
          <w:tblCellMar>
            <w:top w:w="0" w:type="dxa"/>
            <w:left w:w="108" w:type="dxa"/>
            <w:bottom w:w="0" w:type="dxa"/>
            <w:right w:w="108" w:type="dxa"/>
          </w:tblCellMar>
        </w:tblPrEx>
        <w:trPr>
          <w:trHeight w:val="285" w:hRule="atLeast"/>
        </w:trPr>
        <w:tc>
          <w:tcPr>
            <w:tcW w:w="8841" w:type="dxa"/>
            <w:gridSpan w:val="2"/>
            <w:vMerge w:val="continue"/>
            <w:tcBorders>
              <w:top w:val="single" w:color="666666" w:sz="8" w:space="0"/>
              <w:left w:val="single" w:color="666666" w:sz="8" w:space="0"/>
              <w:bottom w:val="single" w:color="666666" w:sz="8" w:space="0"/>
              <w:right w:val="single" w:color="666666" w:sz="8" w:space="0"/>
            </w:tcBorders>
            <w:shd w:val="clear" w:color="auto" w:fill="FFFFFF"/>
            <w:vAlign w:val="center"/>
          </w:tcPr>
          <w:p>
            <w:pPr>
              <w:rPr>
                <w:rFonts w:hint="eastAsia" w:ascii="宋体" w:hAnsi="宋体" w:eastAsia="宋体" w:cs="宋体"/>
                <w:b w:val="0"/>
                <w:bCs w:val="0"/>
                <w:i w:val="0"/>
                <w:iCs w:val="0"/>
                <w:color w:val="333333"/>
                <w:sz w:val="21"/>
                <w:szCs w:val="21"/>
                <w:u w:val="none"/>
              </w:rPr>
            </w:pPr>
          </w:p>
        </w:tc>
      </w:tr>
      <w:tr>
        <w:tblPrEx>
          <w:tblCellMar>
            <w:top w:w="0" w:type="dxa"/>
            <w:left w:w="108" w:type="dxa"/>
            <w:bottom w:w="0" w:type="dxa"/>
            <w:right w:w="108" w:type="dxa"/>
          </w:tblCellMar>
        </w:tblPrEx>
        <w:trPr>
          <w:trHeight w:val="285" w:hRule="atLeast"/>
        </w:trPr>
        <w:tc>
          <w:tcPr>
            <w:tcW w:w="8841" w:type="dxa"/>
            <w:gridSpan w:val="2"/>
            <w:vMerge w:val="continue"/>
            <w:tcBorders>
              <w:top w:val="single" w:color="666666" w:sz="8" w:space="0"/>
              <w:left w:val="single" w:color="666666" w:sz="8" w:space="0"/>
              <w:bottom w:val="single" w:color="666666" w:sz="8" w:space="0"/>
              <w:right w:val="single" w:color="666666" w:sz="8" w:space="0"/>
            </w:tcBorders>
            <w:shd w:val="clear" w:color="auto" w:fill="FFFFFF"/>
            <w:vAlign w:val="center"/>
          </w:tcPr>
          <w:p>
            <w:pPr>
              <w:rPr>
                <w:rFonts w:hint="eastAsia" w:ascii="宋体" w:hAnsi="宋体" w:eastAsia="宋体" w:cs="宋体"/>
                <w:b w:val="0"/>
                <w:bCs w:val="0"/>
                <w:i w:val="0"/>
                <w:iCs w:val="0"/>
                <w:color w:val="333333"/>
                <w:sz w:val="21"/>
                <w:szCs w:val="21"/>
                <w:u w:val="none"/>
              </w:rPr>
            </w:pP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505" w:type="dxa"/>
            <w:noWrap w:val="0"/>
            <w:vAlign w:val="center"/>
          </w:tcPr>
          <w:p>
            <w:pPr>
              <w:ind w:firstLine="0" w:firstLineChars="0"/>
              <w:jc w:val="center"/>
              <w:rPr>
                <w:sz w:val="30"/>
                <w:szCs w:val="30"/>
              </w:rPr>
            </w:pPr>
            <w:r>
              <w:rPr>
                <w:rFonts w:hint="eastAsia"/>
                <w:sz w:val="30"/>
                <w:szCs w:val="30"/>
              </w:rPr>
              <w:t>品牌型号</w:t>
            </w:r>
          </w:p>
        </w:tc>
        <w:tc>
          <w:tcPr>
            <w:tcW w:w="930"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传祺M8领秀豪华型</w:t>
            </w:r>
          </w:p>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p>
        </w:tc>
        <w:tc>
          <w:tcPr>
            <w:tcW w:w="930" w:type="dxa"/>
            <w:noWrap w:val="0"/>
            <w:vAlign w:val="center"/>
          </w:tcPr>
          <w:p>
            <w:pPr>
              <w:ind w:firstLine="0" w:firstLineChars="0"/>
              <w:jc w:val="center"/>
              <w:rPr>
                <w:rFonts w:hint="eastAsia" w:ascii="宋体" w:hAnsi="宋体" w:eastAsia="宋体" w:cs="宋体"/>
                <w:sz w:val="21"/>
                <w:szCs w:val="21"/>
                <w:lang w:eastAsia="zh-CN"/>
              </w:rPr>
            </w:pPr>
          </w:p>
        </w:tc>
        <w:tc>
          <w:tcPr>
            <w:tcW w:w="1001"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253F0"/>
    <w:rsid w:val="05B33779"/>
    <w:rsid w:val="05CB4EDA"/>
    <w:rsid w:val="06233674"/>
    <w:rsid w:val="064F44F5"/>
    <w:rsid w:val="06750697"/>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432E04"/>
    <w:rsid w:val="0F56600C"/>
    <w:rsid w:val="0FDE4E7E"/>
    <w:rsid w:val="10047D3E"/>
    <w:rsid w:val="1015385D"/>
    <w:rsid w:val="1055158F"/>
    <w:rsid w:val="107348E1"/>
    <w:rsid w:val="107629EF"/>
    <w:rsid w:val="107B36EC"/>
    <w:rsid w:val="109C5B37"/>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1F900C1"/>
    <w:rsid w:val="1206086B"/>
    <w:rsid w:val="12243423"/>
    <w:rsid w:val="12371F81"/>
    <w:rsid w:val="1237641B"/>
    <w:rsid w:val="12411CF0"/>
    <w:rsid w:val="125F4E85"/>
    <w:rsid w:val="12695089"/>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8E7779A"/>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85ECD"/>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71487"/>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3C481F"/>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D725DE"/>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6D547B"/>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C2163A"/>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5446CB"/>
    <w:rsid w:val="2E704C0F"/>
    <w:rsid w:val="2E821BE2"/>
    <w:rsid w:val="2EA91D25"/>
    <w:rsid w:val="2EB44765"/>
    <w:rsid w:val="2EBF392D"/>
    <w:rsid w:val="2F1C5807"/>
    <w:rsid w:val="2F1F1548"/>
    <w:rsid w:val="2F21432D"/>
    <w:rsid w:val="2F2233EF"/>
    <w:rsid w:val="2F7E56E8"/>
    <w:rsid w:val="2F8D4F86"/>
    <w:rsid w:val="2F910CF8"/>
    <w:rsid w:val="2F9A12C4"/>
    <w:rsid w:val="2FF81ACE"/>
    <w:rsid w:val="300C6F30"/>
    <w:rsid w:val="303B074A"/>
    <w:rsid w:val="303D10B7"/>
    <w:rsid w:val="307716A4"/>
    <w:rsid w:val="308B267F"/>
    <w:rsid w:val="3091782D"/>
    <w:rsid w:val="309D35EF"/>
    <w:rsid w:val="30B66302"/>
    <w:rsid w:val="30B751B3"/>
    <w:rsid w:val="30EF615D"/>
    <w:rsid w:val="311C17EC"/>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CDE204C"/>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03390"/>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1B79E0"/>
    <w:rsid w:val="4E2B0F4F"/>
    <w:rsid w:val="4E44523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132D9D"/>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A42512"/>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447FDD"/>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1D8297F"/>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3253CEE"/>
    <w:rsid w:val="732A6942"/>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137D"/>
    <w:rsid w:val="75A572D1"/>
    <w:rsid w:val="75D81664"/>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22DCE"/>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10154</Words>
  <Characters>11106</Characters>
  <Lines>0</Lines>
  <Paragraphs>0</Paragraphs>
  <TotalTime>8</TotalTime>
  <ScaleCrop>false</ScaleCrop>
  <LinksUpToDate>false</LinksUpToDate>
  <CharactersWithSpaces>12813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2022-05-10T08:03:12Z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9287CD1DB6F74A3D9E0854E8BB5C20FA</vt:lpwstr>
  </property>
</Properties>
</file>