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b/>
          <w:bCs/>
          <w:color w:val="FF0000"/>
          <w:sz w:val="44"/>
          <w:szCs w:val="44"/>
          <w:lang w:val="en-US" w:eastAsia="zh-CN"/>
        </w:rPr>
      </w:pP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color w:val="auto"/>
          <w:sz w:val="44"/>
          <w:szCs w:val="44"/>
          <w:lang w:val="en-US" w:eastAsia="zh-CN"/>
        </w:rPr>
        <w:t>5.5</w:t>
      </w:r>
      <w:r>
        <w:rPr>
          <w:rFonts w:hint="eastAsia" w:ascii="方正粗黑宋简体" w:hAnsi="方正粗黑宋简体" w:eastAsia="方正粗黑宋简体" w:cs="宋体"/>
          <w:b/>
          <w:bCs/>
          <w:color w:val="auto"/>
          <w:sz w:val="44"/>
          <w:szCs w:val="44"/>
        </w:rPr>
        <w:t>平板型清障车采购</w:t>
      </w:r>
      <w:r>
        <w:rPr>
          <w:rFonts w:hint="eastAsia" w:ascii="方正粗黑宋简体" w:hAnsi="方正粗黑宋简体" w:eastAsia="方正粗黑宋简体" w:cs="宋体"/>
          <w:b/>
          <w:bCs/>
          <w:color w:val="auto"/>
          <w:sz w:val="44"/>
          <w:szCs w:val="44"/>
          <w:lang w:val="en-US" w:eastAsia="zh-CN"/>
        </w:rPr>
        <w:t>(二次)</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2022</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u w:val="single"/>
          <w:lang w:val="en-US" w:eastAsia="zh-CN"/>
        </w:rPr>
        <w:t xml:space="preserve"> </w:t>
      </w:r>
      <w:r>
        <w:rPr>
          <w:rFonts w:hint="eastAsia" w:ascii="Times New Roman" w:hAnsi="Times New Roman" w:eastAsia="黑体" w:cs="Times New Roman"/>
          <w:color w:val="auto"/>
          <w:sz w:val="32"/>
          <w:szCs w:val="32"/>
          <w:u w:val="single"/>
          <w:lang w:val="en-US" w:eastAsia="zh-CN"/>
        </w:rPr>
        <w:t>5</w:t>
      </w:r>
      <w:r>
        <w:rPr>
          <w:rFonts w:hint="eastAsia" w:ascii="Times New Roman" w:hAnsi="Times New Roman" w:eastAsia="黑体" w:cs="Times New Roman"/>
          <w:color w:val="auto"/>
          <w:sz w:val="32"/>
          <w:szCs w:val="32"/>
          <w:u w:val="single"/>
        </w:rPr>
        <w:t xml:space="preserve">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5</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10395_WPSOffice_Level2"/>
      <w:bookmarkStart w:id="4" w:name="_Toc525632585"/>
      <w:bookmarkStart w:id="5" w:name="_Toc13871"/>
      <w:bookmarkStart w:id="6" w:name="_Toc6496_WPSOffice_Level2"/>
      <w:bookmarkStart w:id="7" w:name="_Toc24354_WPSOffice_Level2"/>
      <w:bookmarkStart w:id="8" w:name="_Toc1276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jc w:val="center"/>
        <w:rPr>
          <w:rFonts w:hint="eastAsia" w:ascii="宋体" w:hAnsi="宋体" w:eastAsia="宋体" w:cs="宋体"/>
          <w:b/>
          <w:bCs/>
          <w:color w:val="FF0000"/>
          <w:sz w:val="44"/>
          <w:szCs w:val="44"/>
          <w:lang w:eastAsia="zh-CN"/>
        </w:rPr>
      </w:pPr>
      <w:r>
        <w:rPr>
          <w:rFonts w:hint="eastAsia" w:ascii="Times New Roman" w:hAnsi="Times New Roman" w:cs="Times New Roman"/>
          <w:szCs w:val="22"/>
          <w:lang w:val="en-US" w:eastAsia="zh-CN"/>
        </w:rPr>
        <w:t xml:space="preserve">   </w:t>
      </w: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eastAsia" w:ascii="宋体" w:hAnsi="宋体" w:eastAsia="宋体" w:cs="宋体"/>
          <w:color w:val="auto"/>
          <w:szCs w:val="21"/>
          <w:u w:val="single"/>
        </w:rPr>
        <w:t xml:space="preserve"> 2022年度安徽交运集团汽车销售有限公司</w:t>
      </w:r>
      <w:r>
        <w:rPr>
          <w:rFonts w:hint="eastAsia" w:ascii="宋体" w:hAnsi="宋体" w:eastAsia="宋体" w:cs="宋体"/>
          <w:color w:val="auto"/>
          <w:szCs w:val="21"/>
          <w:u w:val="single"/>
          <w:lang w:val="en-US" w:eastAsia="zh-CN"/>
        </w:rPr>
        <w:t>5.5</w:t>
      </w:r>
      <w:r>
        <w:rPr>
          <w:rFonts w:hint="eastAsia" w:ascii="宋体" w:hAnsi="宋体" w:eastAsia="宋体" w:cs="宋体"/>
          <w:color w:val="auto"/>
          <w:szCs w:val="21"/>
          <w:u w:val="single"/>
        </w:rPr>
        <w:t>平板型清障车采购</w:t>
      </w:r>
      <w:r>
        <w:rPr>
          <w:rFonts w:hint="eastAsia" w:ascii="宋体" w:hAnsi="宋体" w:eastAsia="宋体" w:cs="宋体"/>
          <w:color w:val="auto"/>
          <w:szCs w:val="21"/>
          <w:u w:val="single"/>
          <w:lang w:eastAsia="zh-CN"/>
        </w:rPr>
        <w:t>（二次）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1.3 项目概况：</w:t>
      </w:r>
      <w:r>
        <w:rPr>
          <w:rFonts w:hint="eastAsia" w:ascii="Times New Roman" w:hAnsi="Times New Roman" w:cs="Times New Roman"/>
          <w:szCs w:val="22"/>
          <w:u w:val="single"/>
        </w:rPr>
        <w:t>采购8吨平板型清障车1台，进一步提升辖段清障救援能力</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23266_WPSOffice_Level2"/>
      <w:bookmarkStart w:id="11" w:name="_Toc18453"/>
      <w:bookmarkStart w:id="12" w:name="_Toc8128_WPSOffice_Level2"/>
      <w:bookmarkStart w:id="13" w:name="_Toc17858_WPSOffice_Level2"/>
      <w:bookmarkStart w:id="14" w:name="_Toc18367_WPSOffice_Level2"/>
      <w:bookmarkStart w:id="15" w:name="_Toc525632586"/>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cs="Times New Roman"/>
          <w:color w:val="auto"/>
          <w:szCs w:val="22"/>
          <w:u w:val="single"/>
        </w:rPr>
        <w:t>平板型清障</w:t>
      </w:r>
      <w:r>
        <w:rPr>
          <w:rFonts w:ascii="Times New Roman" w:hAnsi="Times New Roman" w:cs="Times New Roman"/>
          <w:color w:val="auto"/>
          <w:szCs w:val="22"/>
          <w:u w:val="single"/>
        </w:rPr>
        <w:t>车采购</w:t>
      </w:r>
      <w:r>
        <w:rPr>
          <w:rFonts w:hint="eastAsia" w:ascii="Times New Roman" w:hAnsi="Times New Roman" w:cs="Times New Roman"/>
          <w:szCs w:val="22"/>
          <w:u w:val="single"/>
        </w:rPr>
        <w:t>，适用于高速公路故障车辆、事故车辆的清障救援</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合同控制价40万元。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合同签订之日起30个日历日以内。</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22379_WPSOffice_Level2"/>
      <w:bookmarkStart w:id="20" w:name="_Toc525632587"/>
      <w:bookmarkStart w:id="21" w:name="_Toc3714"/>
      <w:bookmarkStart w:id="22" w:name="_Toc1622_WPSOffice_Level2"/>
      <w:bookmarkStart w:id="23" w:name="_Toc6388"/>
      <w:bookmarkStart w:id="24" w:name="_Toc31673_WPSOffice_Level2"/>
      <w:bookmarkStart w:id="25" w:name="_Toc29516_WPSOffice_Level2"/>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车辆购置税，销售差价（签订的厂家合同价为中标价--销售差价）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4</w:t>
      </w:r>
      <w:r>
        <w:rPr>
          <w:rFonts w:ascii="Times New Roman" w:hAnsi="Times New Roman" w:cs="Times New Roman"/>
          <w:szCs w:val="22"/>
          <w:highlight w:val="green"/>
        </w:rPr>
        <w:t>月至响应文件递交截止日期，以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w:t>
      </w:r>
      <w:r>
        <w:rPr>
          <w:rFonts w:hint="eastAsia" w:ascii="Times New Roman" w:hAnsi="Times New Roman" w:cs="Times New Roman"/>
          <w:color w:val="auto"/>
          <w:szCs w:val="22"/>
          <w:highlight w:val="green"/>
        </w:rPr>
        <w:t>安徽省内</w:t>
      </w:r>
      <w:r>
        <w:rPr>
          <w:rFonts w:ascii="Times New Roman" w:hAnsi="Times New Roman" w:cs="Times New Roman"/>
          <w:color w:val="auto"/>
          <w:szCs w:val="22"/>
          <w:highlight w:val="green"/>
        </w:rPr>
        <w:t>有4</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1994"/>
      <w:bookmarkStart w:id="27" w:name="_Toc29452_WPSOffice_Level2"/>
      <w:bookmarkStart w:id="28" w:name="_Toc25666_WPSOffice_Level2"/>
      <w:bookmarkStart w:id="29" w:name="_Toc2996_WPSOffice_Level2"/>
      <w:bookmarkStart w:id="30" w:name="_Toc525632588"/>
      <w:bookmarkStart w:id="31" w:name="_Toc4109_WPSOffice_Level2"/>
      <w:bookmarkStart w:id="32" w:name="_Toc4751"/>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5</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11</w:t>
      </w:r>
      <w:r>
        <w:rPr>
          <w:rFonts w:ascii="Times New Roman" w:hAnsi="Times New Roman" w:cs="Times New Roman"/>
          <w:color w:val="auto"/>
          <w:szCs w:val="22"/>
        </w:rPr>
        <w:t>日</w:t>
      </w:r>
      <w:r>
        <w:rPr>
          <w:rFonts w:hint="eastAsia" w:ascii="Times New Roman" w:hAnsi="Times New Roman" w:cs="Times New Roman"/>
          <w:color w:val="auto"/>
          <w:szCs w:val="22"/>
          <w:u w:val="single"/>
        </w:rPr>
        <w:t>9</w:t>
      </w:r>
      <w:r>
        <w:rPr>
          <w:rFonts w:ascii="Times New Roman" w:hAnsi="Times New Roman" w:cs="Times New Roman"/>
          <w:color w:val="auto"/>
          <w:szCs w:val="22"/>
        </w:rPr>
        <w:t>时</w:t>
      </w:r>
      <w:r>
        <w:rPr>
          <w:rFonts w:hint="eastAsia" w:ascii="Times New Roman" w:hAnsi="Times New Roman" w:cs="Times New Roman"/>
          <w:color w:val="auto"/>
          <w:szCs w:val="22"/>
          <w:u w:val="single"/>
        </w:rPr>
        <w:t>30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并在2022年</w:t>
      </w:r>
      <w:r>
        <w:rPr>
          <w:rFonts w:hint="eastAsia" w:ascii="Times New Roman" w:hAnsi="Times New Roman"/>
          <w:color w:val="auto"/>
          <w:lang w:val="en-US" w:eastAsia="zh-CN"/>
        </w:rPr>
        <w:t>5</w:t>
      </w:r>
      <w:r>
        <w:rPr>
          <w:rFonts w:hint="eastAsia" w:ascii="Times New Roman" w:hAnsi="Times New Roman"/>
          <w:color w:val="auto"/>
        </w:rPr>
        <w:t>月</w:t>
      </w:r>
      <w:r>
        <w:rPr>
          <w:rFonts w:hint="eastAsia" w:ascii="Times New Roman" w:hAnsi="Times New Roman"/>
          <w:color w:val="auto"/>
          <w:lang w:val="en-US" w:eastAsia="zh-CN"/>
        </w:rPr>
        <w:t>10</w:t>
      </w:r>
      <w:r>
        <w:rPr>
          <w:rFonts w:hint="eastAsia" w:ascii="Times New Roman" w:hAnsi="Times New Roman"/>
          <w:color w:val="auto"/>
        </w:rPr>
        <w:t>日</w:t>
      </w:r>
      <w:r>
        <w:rPr>
          <w:rFonts w:hint="eastAsia" w:ascii="Times New Roman" w:hAnsi="Times New Roman"/>
          <w:color w:val="auto"/>
          <w:lang w:val="en-US" w:eastAsia="zh-CN"/>
        </w:rPr>
        <w:t>14</w:t>
      </w:r>
      <w:r>
        <w:rPr>
          <w:rFonts w:hint="eastAsia" w:ascii="Times New Roman" w:hAnsi="Times New Roman"/>
          <w:color w:val="auto"/>
        </w:rPr>
        <w:t>：00时前到账，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28571_WPSOffice_Level2"/>
      <w:bookmarkStart w:id="39" w:name="_Toc26829"/>
      <w:bookmarkStart w:id="40" w:name="_Toc20572_WPSOffice_Level2"/>
      <w:bookmarkStart w:id="41" w:name="_Toc525632592"/>
      <w:bookmarkStart w:id="42" w:name="_Toc8501"/>
      <w:bookmarkStart w:id="43" w:name="_Toc14943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5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5 </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不允许分包。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ascii="宋体" w:hAnsi="宋体" w:cs="宋体"/>
                <w:kern w:val="1"/>
                <w:szCs w:val="21"/>
                <w:shd w:val="clear" w:color="auto" w:fill="FFFFFF"/>
              </w:rPr>
              <w:t>1、任何一项带“</w:t>
            </w:r>
            <w:r>
              <w:rPr>
                <w:rFonts w:hint="eastAsia" w:ascii="宋体" w:hAnsi="宋体" w:cs="宋体"/>
                <w:szCs w:val="21"/>
              </w:rPr>
              <w:t>★</w:t>
            </w:r>
            <w:r>
              <w:rPr>
                <w:rFonts w:hint="eastAsia" w:ascii="宋体" w:hAnsi="宋体" w:cs="宋体"/>
                <w:kern w:val="1"/>
                <w:szCs w:val="21"/>
                <w:shd w:val="clear" w:color="auto" w:fill="FFFFFF"/>
              </w:rPr>
              <w:t>”号</w:t>
            </w:r>
            <w:r>
              <w:rPr>
                <w:rFonts w:hint="eastAsia" w:ascii="宋体" w:hAnsi="宋体" w:cs="宋体"/>
                <w:kern w:val="1"/>
                <w:szCs w:val="21"/>
                <w:shd w:val="clear" w:color="auto" w:fill="FFFFFF"/>
                <w:lang w:eastAsia="zh-CN"/>
              </w:rPr>
              <w:t>为主要</w:t>
            </w:r>
            <w:r>
              <w:rPr>
                <w:rFonts w:hint="eastAsia" w:ascii="宋体" w:hAnsi="宋体" w:cs="宋体"/>
                <w:kern w:val="1"/>
                <w:szCs w:val="21"/>
                <w:shd w:val="clear" w:color="auto" w:fill="FFFFFF"/>
              </w:rPr>
              <w:t>技术指标、参数或性能描述没有实质性响应招标文件的要求</w:t>
            </w:r>
            <w:r>
              <w:rPr>
                <w:rFonts w:ascii="宋体" w:hAnsi="宋体" w:cs="宋体"/>
                <w:kern w:val="1"/>
                <w:szCs w:val="21"/>
                <w:shd w:val="clear" w:color="auto" w:fill="FFFFFF"/>
              </w:rPr>
              <w:t>,技术部分得0分。</w:t>
            </w:r>
          </w:p>
          <w:p>
            <w:pPr>
              <w:kinsoku w:val="0"/>
              <w:autoSpaceDE w:val="0"/>
              <w:autoSpaceDN w:val="0"/>
              <w:adjustRightInd w:val="0"/>
              <w:spacing w:before="156" w:beforeLines="50" w:line="332" w:lineRule="exact"/>
              <w:rPr>
                <w:szCs w:val="21"/>
              </w:rPr>
            </w:pPr>
            <w:r>
              <w:rPr>
                <w:rFonts w:ascii="宋体" w:hAnsi="宋体" w:cs="宋体"/>
                <w:kern w:val="1"/>
                <w:szCs w:val="21"/>
                <w:shd w:val="clear" w:color="auto" w:fill="FFFFFF"/>
              </w:rPr>
              <w:t>2、</w:t>
            </w:r>
            <w:r>
              <w:rPr>
                <w:rFonts w:hint="eastAsia"/>
                <w:szCs w:val="21"/>
              </w:rPr>
              <w:t>报价文件中提供主要技术参数均满足询价文件要求的，得基本分15分；在此基础上：</w:t>
            </w:r>
          </w:p>
          <w:p>
            <w:pPr>
              <w:adjustRightInd w:val="0"/>
              <w:snapToGrid w:val="0"/>
              <w:spacing w:line="276" w:lineRule="auto"/>
              <w:rPr>
                <w:rFonts w:ascii="Times New Roman" w:hAnsi="Times New Roman" w:cs="Times New Roman"/>
                <w:szCs w:val="21"/>
              </w:rPr>
            </w:pPr>
            <w:r>
              <w:rPr>
                <w:rFonts w:hint="eastAsia"/>
                <w:szCs w:val="21"/>
              </w:rPr>
              <w:t>主要技术参数优于询价文件要求的，每有一项加</w:t>
            </w:r>
            <w:r>
              <w:rPr>
                <w:szCs w:val="21"/>
              </w:rPr>
              <w:t>1</w:t>
            </w:r>
            <w:r>
              <w:rPr>
                <w:rFonts w:hint="eastAsia"/>
                <w:szCs w:val="21"/>
              </w:rPr>
              <w:t>分，本项最多加5分，本项满分20分。主要技术参数低于询价文件要求的，每项扣2分，扣完为止。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15</w:t>
            </w:r>
          </w:p>
        </w:tc>
        <w:tc>
          <w:tcPr>
            <w:tcW w:w="4668" w:type="dxa"/>
            <w:vAlign w:val="center"/>
          </w:tcPr>
          <w:p>
            <w:pPr>
              <w:pStyle w:val="34"/>
              <w:spacing w:before="18" w:after="156" w:afterLines="50" w:line="312" w:lineRule="exact"/>
              <w:ind w:left="-6" w:leftChars="-3"/>
              <w:rPr>
                <w:rFonts w:eastAsiaTheme="minorEastAsia" w:cstheme="minorBidi"/>
                <w:b/>
                <w:szCs w:val="21"/>
                <w:lang w:val="en-US" w:bidi="ar-SA"/>
              </w:rPr>
            </w:pPr>
            <w:r>
              <w:rPr>
                <w:rFonts w:eastAsiaTheme="minorEastAsia" w:cstheme="minorBidi"/>
                <w:b/>
                <w:szCs w:val="21"/>
                <w:lang w:val="en-US" w:bidi="ar-SA"/>
              </w:rPr>
              <w:t>1.行业业绩</w:t>
            </w:r>
            <w:r>
              <w:rPr>
                <w:rFonts w:hint="eastAsia" w:eastAsiaTheme="minorEastAsia" w:cstheme="minorBidi"/>
                <w:b/>
                <w:szCs w:val="21"/>
                <w:lang w:val="en-US" w:bidi="ar-SA"/>
              </w:rPr>
              <w:t>（8</w:t>
            </w:r>
            <w:r>
              <w:rPr>
                <w:rFonts w:eastAsiaTheme="minorEastAsia" w:cstheme="minorBidi"/>
                <w:b/>
                <w:szCs w:val="21"/>
                <w:lang w:val="en-US" w:bidi="ar-SA"/>
              </w:rPr>
              <w:t>分</w:t>
            </w:r>
            <w:r>
              <w:rPr>
                <w:rFonts w:hint="eastAsia" w:eastAsiaTheme="minorEastAsia" w:cstheme="minorBidi"/>
                <w:b/>
                <w:szCs w:val="21"/>
                <w:lang w:val="en-US" w:bidi="ar-SA"/>
              </w:rPr>
              <w:t xml:space="preserve">）  </w:t>
            </w:r>
          </w:p>
          <w:p>
            <w:pPr>
              <w:spacing w:line="300" w:lineRule="atLeast"/>
              <w:rPr>
                <w:rFonts w:ascii="宋体" w:hAnsi="宋体"/>
                <w:b/>
                <w:szCs w:val="21"/>
              </w:rPr>
            </w:pPr>
            <w:r>
              <w:rPr>
                <w:rFonts w:hint="eastAsia" w:ascii="Times New Roman" w:hAnsi="Times New Roman" w:eastAsia="宋体" w:cs="Times New Roman"/>
                <w:szCs w:val="21"/>
              </w:rPr>
              <w:t>投标设备所属</w:t>
            </w:r>
            <w:r>
              <w:rPr>
                <w:rFonts w:ascii="宋体" w:hAnsi="宋体"/>
                <w:szCs w:val="21"/>
              </w:rPr>
              <w:t>品牌</w:t>
            </w:r>
            <w:r>
              <w:rPr>
                <w:rFonts w:hint="eastAsia" w:ascii="宋体" w:hAnsi="宋体"/>
                <w:szCs w:val="21"/>
              </w:rPr>
              <w:t>，</w:t>
            </w:r>
            <w:r>
              <w:rPr>
                <w:rFonts w:ascii="宋体" w:hAnsi="宋体"/>
                <w:b/>
                <w:szCs w:val="21"/>
                <w:u w:val="single"/>
              </w:rPr>
              <w:t>清障车总产量</w:t>
            </w:r>
            <w:r>
              <w:rPr>
                <w:rFonts w:hint="eastAsia" w:ascii="宋体" w:hAnsi="宋体"/>
                <w:szCs w:val="21"/>
              </w:rPr>
              <w:t>自</w:t>
            </w:r>
            <w:r>
              <w:rPr>
                <w:rFonts w:ascii="宋体" w:hAnsi="宋体"/>
                <w:szCs w:val="21"/>
              </w:rPr>
              <w:t>20</w:t>
            </w:r>
            <w:r>
              <w:rPr>
                <w:rFonts w:hint="eastAsia" w:ascii="宋体" w:hAnsi="宋体"/>
                <w:szCs w:val="21"/>
              </w:rPr>
              <w:t>19</w:t>
            </w:r>
            <w:r>
              <w:rPr>
                <w:rFonts w:ascii="宋体" w:hAnsi="宋体"/>
                <w:szCs w:val="21"/>
              </w:rPr>
              <w:t>年至</w:t>
            </w:r>
            <w:r>
              <w:rPr>
                <w:rFonts w:hint="eastAsia" w:ascii="宋体" w:hAnsi="宋体"/>
                <w:szCs w:val="21"/>
              </w:rPr>
              <w:t>2022年：</w:t>
            </w:r>
          </w:p>
          <w:p>
            <w:pPr>
              <w:spacing w:line="300" w:lineRule="atLeast"/>
              <w:rPr>
                <w:rFonts w:ascii="宋体" w:hAnsi="宋体"/>
                <w:color w:val="auto"/>
                <w:szCs w:val="21"/>
              </w:rPr>
            </w:pPr>
            <w:r>
              <w:rPr>
                <w:rFonts w:ascii="宋体" w:hAnsi="宋体"/>
                <w:color w:val="auto"/>
                <w:szCs w:val="21"/>
              </w:rPr>
              <w:t>1)</w:t>
            </w:r>
            <w:r>
              <w:rPr>
                <w:rFonts w:hint="eastAsia" w:ascii="宋体" w:hAnsi="宋体"/>
                <w:color w:val="auto"/>
                <w:szCs w:val="21"/>
                <w:lang w:eastAsia="zh-CN"/>
              </w:rPr>
              <w:t>年销售</w:t>
            </w:r>
            <w:r>
              <w:rPr>
                <w:rFonts w:ascii="宋体" w:hAnsi="宋体"/>
                <w:color w:val="auto"/>
                <w:szCs w:val="21"/>
              </w:rPr>
              <w:t>在</w:t>
            </w:r>
            <w:r>
              <w:rPr>
                <w:rFonts w:hint="eastAsia" w:ascii="宋体" w:hAnsi="宋体"/>
                <w:color w:val="auto"/>
                <w:szCs w:val="21"/>
              </w:rPr>
              <w:t>2000</w:t>
            </w:r>
            <w:r>
              <w:rPr>
                <w:rFonts w:ascii="宋体" w:hAnsi="宋体"/>
                <w:color w:val="auto"/>
                <w:szCs w:val="21"/>
              </w:rPr>
              <w:t>辆以上，</w:t>
            </w:r>
            <w:r>
              <w:rPr>
                <w:rFonts w:hint="eastAsia" w:ascii="宋体" w:hAnsi="宋体"/>
                <w:color w:val="auto"/>
                <w:szCs w:val="21"/>
              </w:rPr>
              <w:t>得8</w:t>
            </w:r>
            <w:r>
              <w:rPr>
                <w:rFonts w:ascii="宋体" w:hAnsi="宋体"/>
                <w:color w:val="auto"/>
                <w:szCs w:val="21"/>
              </w:rPr>
              <w:t>分；</w:t>
            </w:r>
          </w:p>
          <w:p>
            <w:pPr>
              <w:spacing w:line="300" w:lineRule="atLeast"/>
              <w:rPr>
                <w:rFonts w:ascii="宋体" w:hAnsi="宋体"/>
                <w:color w:val="auto"/>
                <w:szCs w:val="21"/>
              </w:rPr>
            </w:pPr>
            <w:r>
              <w:rPr>
                <w:rFonts w:ascii="宋体" w:hAnsi="宋体"/>
                <w:color w:val="auto"/>
                <w:szCs w:val="21"/>
              </w:rPr>
              <w:t>2)</w:t>
            </w:r>
            <w:r>
              <w:rPr>
                <w:rFonts w:hint="eastAsia" w:ascii="宋体" w:hAnsi="宋体"/>
                <w:color w:val="auto"/>
                <w:szCs w:val="21"/>
                <w:lang w:eastAsia="zh-CN"/>
              </w:rPr>
              <w:t>年销售</w:t>
            </w:r>
            <w:r>
              <w:rPr>
                <w:rFonts w:ascii="宋体" w:hAnsi="宋体"/>
                <w:color w:val="auto"/>
                <w:szCs w:val="21"/>
              </w:rPr>
              <w:t>在</w:t>
            </w:r>
            <w:r>
              <w:rPr>
                <w:rFonts w:hint="eastAsia" w:ascii="宋体" w:hAnsi="宋体"/>
                <w:color w:val="auto"/>
                <w:szCs w:val="21"/>
              </w:rPr>
              <w:t>15</w:t>
            </w:r>
            <w:r>
              <w:rPr>
                <w:rFonts w:ascii="宋体" w:hAnsi="宋体"/>
                <w:color w:val="auto"/>
                <w:szCs w:val="21"/>
              </w:rPr>
              <w:t>00－</w:t>
            </w:r>
            <w:r>
              <w:rPr>
                <w:rFonts w:hint="eastAsia" w:ascii="宋体" w:hAnsi="宋体"/>
                <w:color w:val="auto"/>
                <w:szCs w:val="21"/>
              </w:rPr>
              <w:t>20</w:t>
            </w:r>
            <w:r>
              <w:rPr>
                <w:rFonts w:ascii="宋体" w:hAnsi="宋体"/>
                <w:color w:val="auto"/>
                <w:szCs w:val="21"/>
              </w:rPr>
              <w:t>00辆（含），</w:t>
            </w:r>
            <w:r>
              <w:rPr>
                <w:rFonts w:hint="eastAsia" w:ascii="宋体" w:hAnsi="宋体"/>
                <w:color w:val="auto"/>
                <w:szCs w:val="21"/>
              </w:rPr>
              <w:t>得5</w:t>
            </w:r>
            <w:r>
              <w:rPr>
                <w:rFonts w:ascii="宋体" w:hAnsi="宋体"/>
                <w:color w:val="auto"/>
                <w:szCs w:val="21"/>
              </w:rPr>
              <w:t>分；</w:t>
            </w:r>
          </w:p>
          <w:p>
            <w:pPr>
              <w:spacing w:line="300" w:lineRule="atLeast"/>
              <w:rPr>
                <w:rFonts w:ascii="宋体" w:hAnsi="宋体"/>
                <w:color w:val="auto"/>
                <w:szCs w:val="21"/>
              </w:rPr>
            </w:pPr>
            <w:r>
              <w:rPr>
                <w:rFonts w:ascii="宋体" w:hAnsi="宋体"/>
                <w:color w:val="auto"/>
                <w:szCs w:val="21"/>
              </w:rPr>
              <w:t>3)</w:t>
            </w:r>
            <w:r>
              <w:rPr>
                <w:rFonts w:hint="eastAsia" w:ascii="宋体" w:hAnsi="宋体"/>
                <w:color w:val="auto"/>
                <w:szCs w:val="21"/>
                <w:lang w:eastAsia="zh-CN"/>
              </w:rPr>
              <w:t>年销量</w:t>
            </w:r>
            <w:r>
              <w:rPr>
                <w:rFonts w:ascii="宋体" w:hAnsi="宋体"/>
                <w:color w:val="auto"/>
                <w:szCs w:val="21"/>
              </w:rPr>
              <w:t>在500－1</w:t>
            </w:r>
            <w:r>
              <w:rPr>
                <w:rFonts w:hint="eastAsia" w:ascii="宋体" w:hAnsi="宋体"/>
                <w:color w:val="auto"/>
                <w:szCs w:val="21"/>
              </w:rPr>
              <w:t>5</w:t>
            </w:r>
            <w:r>
              <w:rPr>
                <w:rFonts w:ascii="宋体" w:hAnsi="宋体"/>
                <w:color w:val="auto"/>
                <w:szCs w:val="21"/>
              </w:rPr>
              <w:t>00辆（含），</w:t>
            </w:r>
            <w:r>
              <w:rPr>
                <w:rFonts w:hint="eastAsia" w:ascii="宋体" w:hAnsi="宋体"/>
                <w:color w:val="auto"/>
                <w:szCs w:val="21"/>
              </w:rPr>
              <w:t>得2</w:t>
            </w:r>
            <w:r>
              <w:rPr>
                <w:rFonts w:ascii="宋体" w:hAnsi="宋体"/>
                <w:color w:val="auto"/>
                <w:szCs w:val="21"/>
              </w:rPr>
              <w:t>分；</w:t>
            </w:r>
          </w:p>
          <w:p>
            <w:pPr>
              <w:adjustRightInd w:val="0"/>
              <w:snapToGrid w:val="0"/>
              <w:spacing w:line="276" w:lineRule="auto"/>
              <w:rPr>
                <w:rFonts w:ascii="宋体" w:hAnsi="宋体"/>
                <w:color w:val="auto"/>
                <w:szCs w:val="21"/>
              </w:rPr>
            </w:pPr>
            <w:r>
              <w:rPr>
                <w:rFonts w:ascii="宋体" w:hAnsi="宋体"/>
                <w:color w:val="auto"/>
                <w:szCs w:val="21"/>
              </w:rPr>
              <w:t>4)</w:t>
            </w:r>
            <w:r>
              <w:rPr>
                <w:rFonts w:hint="eastAsia" w:ascii="宋体" w:hAnsi="宋体"/>
                <w:color w:val="auto"/>
                <w:szCs w:val="21"/>
                <w:lang w:eastAsia="zh-CN"/>
              </w:rPr>
              <w:t>年销量</w:t>
            </w:r>
            <w:r>
              <w:rPr>
                <w:rFonts w:ascii="宋体" w:hAnsi="宋体"/>
                <w:color w:val="auto"/>
                <w:szCs w:val="21"/>
              </w:rPr>
              <w:t>在500辆（含）以下，</w:t>
            </w:r>
            <w:r>
              <w:rPr>
                <w:rFonts w:hint="eastAsia" w:ascii="宋体" w:hAnsi="宋体"/>
                <w:color w:val="auto"/>
                <w:szCs w:val="21"/>
              </w:rPr>
              <w:t>不得</w:t>
            </w:r>
            <w:r>
              <w:rPr>
                <w:rFonts w:ascii="宋体" w:hAnsi="宋体"/>
                <w:color w:val="auto"/>
                <w:szCs w:val="21"/>
              </w:rPr>
              <w:t>分；</w:t>
            </w:r>
          </w:p>
          <w:p>
            <w:pPr>
              <w:spacing w:before="156" w:beforeLines="50" w:line="0" w:lineRule="atLeast"/>
              <w:rPr>
                <w:rFonts w:ascii="宋体" w:hAnsi="宋体"/>
                <w:bCs/>
                <w:szCs w:val="21"/>
              </w:rPr>
            </w:pPr>
            <w:r>
              <w:rPr>
                <w:rFonts w:hint="eastAsia" w:ascii="宋体" w:hAnsi="宋体"/>
                <w:bCs/>
                <w:szCs w:val="21"/>
              </w:rPr>
              <w:t>注：以中国汽车技术研究中心及汽车产业发展研究所发布的《中国专用汽车行业月度数据服务报告》的清障车产量</w:t>
            </w:r>
            <w:r>
              <w:rPr>
                <w:rFonts w:hint="eastAsia" w:ascii="宋体" w:hAnsi="宋体"/>
                <w:bCs/>
                <w:color w:val="auto"/>
                <w:szCs w:val="21"/>
              </w:rPr>
              <w:t>（</w:t>
            </w:r>
            <w:r>
              <w:rPr>
                <w:rFonts w:ascii="宋体" w:hAnsi="宋体"/>
                <w:b/>
                <w:bCs/>
                <w:color w:val="auto"/>
                <w:szCs w:val="21"/>
              </w:rPr>
              <w:t>20</w:t>
            </w:r>
            <w:r>
              <w:rPr>
                <w:rFonts w:hint="eastAsia" w:ascii="宋体" w:hAnsi="宋体"/>
                <w:b/>
                <w:bCs/>
                <w:color w:val="auto"/>
                <w:szCs w:val="21"/>
              </w:rPr>
              <w:t>19</w:t>
            </w:r>
            <w:r>
              <w:rPr>
                <w:rFonts w:ascii="宋体" w:hAnsi="宋体"/>
                <w:b/>
                <w:bCs/>
                <w:color w:val="auto"/>
                <w:szCs w:val="21"/>
              </w:rPr>
              <w:t>-20</w:t>
            </w:r>
            <w:r>
              <w:rPr>
                <w:rFonts w:hint="eastAsia" w:ascii="宋体" w:hAnsi="宋体"/>
                <w:b/>
                <w:bCs/>
                <w:color w:val="auto"/>
                <w:szCs w:val="21"/>
              </w:rPr>
              <w:t>21</w:t>
            </w:r>
            <w:r>
              <w:rPr>
                <w:rFonts w:ascii="宋体" w:hAnsi="宋体"/>
                <w:b/>
                <w:bCs/>
                <w:color w:val="auto"/>
                <w:szCs w:val="21"/>
              </w:rPr>
              <w:t>）</w:t>
            </w:r>
            <w:r>
              <w:rPr>
                <w:rFonts w:ascii="宋体" w:hAnsi="宋体"/>
                <w:bCs/>
                <w:color w:val="auto"/>
                <w:szCs w:val="21"/>
              </w:rPr>
              <w:t>数</w:t>
            </w:r>
            <w:r>
              <w:rPr>
                <w:rFonts w:ascii="宋体" w:hAnsi="宋体"/>
                <w:bCs/>
                <w:szCs w:val="21"/>
              </w:rPr>
              <w:t>据为评分依据（★《中国专用汽车行业月度数据服务报告》是目前中国专用车销售数据最权威最精确的统计数据）。</w:t>
            </w:r>
          </w:p>
          <w:p>
            <w:pPr>
              <w:spacing w:before="156" w:beforeLines="50" w:line="0" w:lineRule="atLeast"/>
              <w:rPr>
                <w:rFonts w:ascii="宋体" w:hAnsi="宋体" w:cs="宋体"/>
                <w:b/>
                <w:spacing w:val="-159"/>
                <w:szCs w:val="21"/>
              </w:rPr>
            </w:pPr>
            <w:r>
              <w:rPr>
                <w:rFonts w:ascii="宋体" w:hAnsi="宋体"/>
                <w:b/>
                <w:szCs w:val="21"/>
              </w:rPr>
              <w:t>2.销售业绩</w:t>
            </w:r>
            <w:r>
              <w:rPr>
                <w:rFonts w:hint="eastAsia" w:ascii="宋体" w:hAnsi="宋体"/>
                <w:b/>
                <w:szCs w:val="21"/>
              </w:rPr>
              <w:t>（7分）</w:t>
            </w:r>
            <w:r>
              <w:rPr>
                <w:rFonts w:hint="eastAsia" w:ascii="宋体" w:hAnsi="宋体"/>
                <w:b/>
                <w:color w:val="auto"/>
                <w:szCs w:val="21"/>
              </w:rPr>
              <w:t>（提供合同和发票复印件）</w:t>
            </w:r>
          </w:p>
          <w:p>
            <w:pPr>
              <w:spacing w:before="156" w:beforeLines="50" w:line="0" w:lineRule="atLeast"/>
              <w:rPr>
                <w:rFonts w:ascii="宋体" w:hAnsi="宋体"/>
                <w:b/>
                <w:color w:val="auto"/>
                <w:szCs w:val="21"/>
              </w:rPr>
            </w:pPr>
            <w:r>
              <w:rPr>
                <w:rFonts w:hint="eastAsia" w:ascii="宋体" w:hAnsi="宋体"/>
                <w:color w:val="auto"/>
                <w:szCs w:val="21"/>
              </w:rPr>
              <w:t>投标人提供的业绩满足询文件资格要求的，得基本分4.2</w:t>
            </w:r>
            <w:r>
              <w:rPr>
                <w:rFonts w:ascii="宋体" w:hAnsi="宋体"/>
                <w:color w:val="auto"/>
                <w:szCs w:val="21"/>
              </w:rPr>
              <w:t>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p>
          <w:p>
            <w:pPr>
              <w:spacing w:line="300" w:lineRule="atLeast"/>
              <w:rPr>
                <w:rFonts w:ascii="宋体" w:hAnsi="宋体"/>
                <w:color w:val="auto"/>
                <w:szCs w:val="21"/>
              </w:rPr>
            </w:pPr>
            <w:r>
              <w:rPr>
                <w:rFonts w:ascii="宋体" w:hAnsi="宋体"/>
                <w:szCs w:val="21"/>
              </w:rPr>
              <w:t>投标人或所投设备制造商</w:t>
            </w:r>
            <w:r>
              <w:rPr>
                <w:rFonts w:hint="eastAsia" w:ascii="宋体" w:hAnsi="宋体"/>
                <w:szCs w:val="21"/>
              </w:rPr>
              <w:t>提供的</w:t>
            </w:r>
            <w:r>
              <w:rPr>
                <w:rFonts w:hint="eastAsia" w:ascii="宋体" w:hAnsi="宋体" w:cs="宋体"/>
              </w:rPr>
              <w:t>近三年（</w:t>
            </w:r>
            <w:r>
              <w:rPr>
                <w:rFonts w:ascii="宋体" w:hAnsi="宋体" w:cs="宋体"/>
              </w:rPr>
              <w:t>201</w:t>
            </w:r>
            <w:r>
              <w:rPr>
                <w:rFonts w:hint="eastAsia" w:ascii="宋体" w:hAnsi="宋体" w:cs="宋体"/>
              </w:rPr>
              <w:t>9</w:t>
            </w:r>
            <w:r>
              <w:rPr>
                <w:rFonts w:ascii="宋体" w:hAnsi="宋体" w:cs="宋体"/>
              </w:rPr>
              <w:t>年1月1日至</w:t>
            </w:r>
            <w:r>
              <w:rPr>
                <w:rFonts w:ascii="Times New Roman" w:hAnsi="Times New Roman" w:cs="Times New Roman"/>
                <w:szCs w:val="22"/>
              </w:rPr>
              <w:t>响应文件递交截止日期</w:t>
            </w:r>
            <w:r>
              <w:rPr>
                <w:rFonts w:ascii="宋体" w:hAnsi="宋体" w:cs="宋体"/>
              </w:rPr>
              <w:t>，以合同签订时间为准）</w:t>
            </w:r>
            <w:r>
              <w:rPr>
                <w:rFonts w:hint="eastAsia" w:ascii="宋体" w:hAnsi="宋体" w:cs="宋体"/>
                <w:color w:val="auto"/>
              </w:rPr>
              <w:t>安徽省内</w:t>
            </w:r>
            <w:r>
              <w:rPr>
                <w:rFonts w:hint="eastAsia" w:ascii="宋体" w:hAnsi="宋体"/>
                <w:color w:val="auto"/>
                <w:szCs w:val="21"/>
              </w:rPr>
              <w:t>达到</w:t>
            </w:r>
            <w:r>
              <w:rPr>
                <w:rFonts w:ascii="宋体" w:hAnsi="宋体"/>
                <w:color w:val="auto"/>
                <w:szCs w:val="21"/>
              </w:rPr>
              <w:t>5</w:t>
            </w:r>
            <w:r>
              <w:rPr>
                <w:rFonts w:hint="eastAsia" w:ascii="宋体" w:hAnsi="宋体"/>
                <w:color w:val="auto"/>
                <w:szCs w:val="21"/>
              </w:rPr>
              <w:t>台加2.8分</w:t>
            </w:r>
            <w:r>
              <w:rPr>
                <w:rFonts w:ascii="宋体" w:hAnsi="宋体"/>
                <w:color w:val="auto"/>
                <w:szCs w:val="21"/>
              </w:rPr>
              <w:t>。</w:t>
            </w:r>
          </w:p>
          <w:p>
            <w:pPr>
              <w:spacing w:before="156" w:beforeLines="50" w:line="320" w:lineRule="exact"/>
              <w:rPr>
                <w:rFonts w:ascii="宋体" w:hAnsi="宋体"/>
                <w:bCs/>
                <w:szCs w:val="21"/>
              </w:rPr>
            </w:pPr>
            <w:r>
              <w:rPr>
                <w:rFonts w:hint="eastAsia" w:ascii="宋体" w:hAnsi="宋体"/>
                <w:bCs/>
                <w:color w:val="auto"/>
                <w:szCs w:val="21"/>
              </w:rPr>
              <w:t>评审依据：投标人提供合同原件（备查</w:t>
            </w:r>
            <w:r>
              <w:rPr>
                <w:rFonts w:hint="eastAsia" w:ascii="宋体" w:hAnsi="宋体"/>
                <w:bCs/>
                <w:szCs w:val="21"/>
              </w:rPr>
              <w:t>），并同时在投标文件中提供复印件，不提供不得分。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1</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rPr>
              <w:t>1</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w:t>
            </w:r>
            <w:r>
              <w:rPr>
                <w:rFonts w:hint="eastAsia" w:ascii="Times New Roman" w:hAnsi="Times New Roman" w:eastAsia="宋体" w:cs="Times New Roman"/>
                <w:szCs w:val="21"/>
                <w:highlight w:val="green"/>
                <w:lang w:eastAsia="zh-CN"/>
              </w:rPr>
              <w:t>标注参数是否响应</w:t>
            </w:r>
            <w:r>
              <w:rPr>
                <w:rFonts w:hint="eastAsia" w:ascii="Times New Roman" w:hAnsi="Times New Roman" w:eastAsia="宋体" w:cs="Times New Roman"/>
                <w:szCs w:val="21"/>
                <w:highlight w:val="green"/>
              </w:rPr>
              <w:t>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78" w:type="dxa"/>
            <w:gridSpan w:val="2"/>
            <w:tcBorders>
              <w:top w:val="single" w:color="auto" w:sz="4" w:space="0"/>
              <w:left w:val="single" w:color="auto" w:sz="4" w:space="0"/>
              <w:bottom w:val="single" w:color="auto" w:sz="4" w:space="0"/>
              <w:right w:val="single" w:color="auto" w:sz="4" w:space="0"/>
            </w:tcBorders>
            <w:noWrap/>
          </w:tcPr>
          <w:p>
            <w:pPr>
              <w:spacing w:line="440" w:lineRule="exact"/>
              <w:rPr>
                <w:rFonts w:ascii="宋体" w:hAnsi="宋体"/>
                <w:sz w:val="24"/>
              </w:rPr>
            </w:pPr>
            <w:r>
              <w:rPr>
                <w:rFonts w:hint="eastAsia" w:ascii="宋体"/>
                <w:sz w:val="24"/>
              </w:rPr>
              <w:t>★</w:t>
            </w:r>
            <w:r>
              <w:rPr>
                <w:rFonts w:hint="eastAsia" w:ascii="宋体" w:hAnsi="宋体"/>
                <w:sz w:val="24"/>
              </w:rPr>
              <w:t>底盘型号</w:t>
            </w:r>
          </w:p>
        </w:tc>
        <w:tc>
          <w:tcPr>
            <w:tcW w:w="4394" w:type="dxa"/>
            <w:tcBorders>
              <w:top w:val="single" w:color="auto" w:sz="4" w:space="0"/>
              <w:left w:val="single" w:color="auto" w:sz="4" w:space="0"/>
              <w:bottom w:val="single" w:color="auto" w:sz="4" w:space="0"/>
              <w:right w:val="single" w:color="auto" w:sz="4" w:space="0"/>
            </w:tcBorders>
            <w:noWrap/>
          </w:tcPr>
          <w:p>
            <w:pPr>
              <w:spacing w:line="500" w:lineRule="exact"/>
              <w:jc w:val="center"/>
              <w:rPr>
                <w:rFonts w:ascii="宋体"/>
                <w:sz w:val="24"/>
              </w:rPr>
            </w:pPr>
            <w:r>
              <w:rPr>
                <w:rFonts w:hint="eastAsia" w:ascii="宋体"/>
                <w:sz w:val="24"/>
              </w:rPr>
              <w:t>福田</w:t>
            </w:r>
            <w:r>
              <w:rPr>
                <w:rFonts w:ascii="宋体"/>
                <w:sz w:val="24"/>
              </w:rPr>
              <w:t>BJ1166VKPFK-1M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3" w:type="dxa"/>
            <w:vMerge w:val="restart"/>
            <w:noWrap/>
            <w:vAlign w:val="center"/>
          </w:tcPr>
          <w:p>
            <w:pPr>
              <w:spacing w:line="500" w:lineRule="exact"/>
              <w:jc w:val="center"/>
              <w:rPr>
                <w:rFonts w:ascii="宋体"/>
                <w:sz w:val="24"/>
              </w:rPr>
            </w:pPr>
            <w:r>
              <w:rPr>
                <w:rFonts w:hint="eastAsia" w:ascii="宋体"/>
                <w:sz w:val="24"/>
              </w:rPr>
              <w:t>空 载（</w:t>
            </w:r>
            <w:r>
              <w:rPr>
                <w:rFonts w:ascii="宋体"/>
                <w:sz w:val="24"/>
              </w:rPr>
              <w:t>kg</w:t>
            </w:r>
            <w:r>
              <w:rPr>
                <w:rFonts w:hint="eastAsia" w:ascii="宋体"/>
                <w:sz w:val="24"/>
              </w:rPr>
              <w:t>）</w:t>
            </w:r>
          </w:p>
        </w:tc>
        <w:tc>
          <w:tcPr>
            <w:tcW w:w="3685" w:type="dxa"/>
            <w:noWrap/>
            <w:vAlign w:val="center"/>
          </w:tcPr>
          <w:p>
            <w:pPr>
              <w:spacing w:line="500" w:lineRule="exact"/>
              <w:rPr>
                <w:rFonts w:ascii="宋体"/>
                <w:sz w:val="24"/>
              </w:rPr>
            </w:pPr>
            <w:r>
              <w:rPr>
                <w:rFonts w:hint="eastAsia" w:ascii="宋体"/>
                <w:sz w:val="24"/>
              </w:rPr>
              <w:t>★整备质量</w:t>
            </w:r>
            <w:r>
              <w:rPr>
                <w:rFonts w:hint="eastAsia" w:cs="宋体" w:asciiTheme="majorEastAsia" w:hAnsiTheme="majorEastAsia" w:eastAsiaTheme="majorEastAsia"/>
                <w:sz w:val="18"/>
                <w:szCs w:val="18"/>
              </w:rPr>
              <w:t>≥</w:t>
            </w:r>
          </w:p>
        </w:tc>
        <w:tc>
          <w:tcPr>
            <w:tcW w:w="4394" w:type="dxa"/>
            <w:noWrap/>
            <w:vAlign w:val="center"/>
          </w:tcPr>
          <w:p>
            <w:pPr>
              <w:spacing w:line="500" w:lineRule="exact"/>
              <w:jc w:val="center"/>
              <w:rPr>
                <w:rFonts w:ascii="宋体"/>
                <w:sz w:val="24"/>
              </w:rPr>
            </w:pPr>
            <w:r>
              <w:rPr>
                <w:rFonts w:hint="eastAsia" w:ascii="宋体"/>
                <w:sz w:val="24"/>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93" w:type="dxa"/>
            <w:vMerge w:val="continue"/>
            <w:noWrap/>
          </w:tcPr>
          <w:p>
            <w:pPr>
              <w:spacing w:line="500" w:lineRule="exact"/>
              <w:jc w:val="center"/>
              <w:rPr>
                <w:rFonts w:ascii="宋体"/>
                <w:sz w:val="24"/>
              </w:rPr>
            </w:pPr>
          </w:p>
        </w:tc>
        <w:tc>
          <w:tcPr>
            <w:tcW w:w="3685" w:type="dxa"/>
            <w:noWrap/>
          </w:tcPr>
          <w:p>
            <w:pPr>
              <w:spacing w:line="480" w:lineRule="exact"/>
              <w:rPr>
                <w:rFonts w:ascii="宋体"/>
                <w:sz w:val="24"/>
              </w:rPr>
            </w:pPr>
            <w:r>
              <w:rPr>
                <w:rFonts w:hint="eastAsia" w:ascii="宋体"/>
                <w:sz w:val="24"/>
              </w:rPr>
              <w:t>前轴/后轴</w:t>
            </w:r>
            <w:r>
              <w:rPr>
                <w:rFonts w:hint="eastAsia" w:cs="宋体" w:asciiTheme="majorEastAsia" w:hAnsiTheme="majorEastAsia" w:eastAsiaTheme="majorEastAsia"/>
                <w:sz w:val="18"/>
                <w:szCs w:val="18"/>
              </w:rPr>
              <w:t>≥</w:t>
            </w:r>
          </w:p>
        </w:tc>
        <w:tc>
          <w:tcPr>
            <w:tcW w:w="4394" w:type="dxa"/>
            <w:noWrap/>
            <w:vAlign w:val="center"/>
          </w:tcPr>
          <w:p>
            <w:pPr>
              <w:spacing w:line="500" w:lineRule="exact"/>
              <w:jc w:val="center"/>
              <w:rPr>
                <w:rFonts w:ascii="宋体"/>
                <w:sz w:val="24"/>
              </w:rPr>
            </w:pPr>
            <w:r>
              <w:rPr>
                <w:rFonts w:hint="eastAsia" w:ascii="宋体"/>
                <w:sz w:val="24"/>
              </w:rPr>
              <w:t>29</w:t>
            </w:r>
            <w:r>
              <w:rPr>
                <w:rFonts w:ascii="宋体"/>
                <w:sz w:val="24"/>
              </w:rPr>
              <w:t>00</w:t>
            </w:r>
            <w:r>
              <w:rPr>
                <w:rFonts w:hint="eastAsia" w:ascii="宋体"/>
                <w:sz w:val="24"/>
              </w:rPr>
              <w:t>/65</w:t>
            </w:r>
            <w:r>
              <w:rPr>
                <w:rFonts w:ascii="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93" w:type="dxa"/>
            <w:vMerge w:val="restart"/>
            <w:noWrap/>
            <w:vAlign w:val="center"/>
          </w:tcPr>
          <w:p>
            <w:pPr>
              <w:spacing w:line="480" w:lineRule="exact"/>
              <w:jc w:val="center"/>
              <w:rPr>
                <w:rFonts w:ascii="宋体"/>
                <w:sz w:val="24"/>
              </w:rPr>
            </w:pPr>
            <w:r>
              <w:rPr>
                <w:rFonts w:hint="eastAsia" w:ascii="宋体"/>
                <w:sz w:val="24"/>
              </w:rPr>
              <w:t>满 载（</w:t>
            </w:r>
            <w:r>
              <w:rPr>
                <w:rFonts w:ascii="宋体"/>
                <w:sz w:val="24"/>
              </w:rPr>
              <w:t>kg</w:t>
            </w:r>
            <w:r>
              <w:rPr>
                <w:rFonts w:hint="eastAsia" w:ascii="宋体"/>
                <w:sz w:val="24"/>
              </w:rPr>
              <w:t>）</w:t>
            </w:r>
          </w:p>
        </w:tc>
        <w:tc>
          <w:tcPr>
            <w:tcW w:w="3685" w:type="dxa"/>
            <w:noWrap/>
            <w:vAlign w:val="center"/>
          </w:tcPr>
          <w:p>
            <w:pPr>
              <w:spacing w:line="480" w:lineRule="exact"/>
              <w:rPr>
                <w:rFonts w:ascii="宋体"/>
                <w:sz w:val="24"/>
              </w:rPr>
            </w:pPr>
            <w:r>
              <w:rPr>
                <w:rFonts w:hint="eastAsia" w:ascii="宋体"/>
                <w:sz w:val="24"/>
              </w:rPr>
              <w:t>最大总质量(含3人)</w:t>
            </w:r>
            <w:r>
              <w:rPr>
                <w:rFonts w:hint="eastAsia" w:cs="宋体" w:asciiTheme="majorEastAsia" w:hAnsiTheme="majorEastAsia" w:eastAsiaTheme="majorEastAsia"/>
                <w:sz w:val="18"/>
                <w:szCs w:val="18"/>
              </w:rPr>
              <w:t xml:space="preserve"> ≥</w:t>
            </w:r>
          </w:p>
        </w:tc>
        <w:tc>
          <w:tcPr>
            <w:tcW w:w="4394" w:type="dxa"/>
            <w:noWrap/>
            <w:vAlign w:val="center"/>
          </w:tcPr>
          <w:p>
            <w:pPr>
              <w:spacing w:line="500" w:lineRule="exact"/>
              <w:jc w:val="center"/>
              <w:rPr>
                <w:rFonts w:ascii="宋体"/>
                <w:sz w:val="24"/>
              </w:rPr>
            </w:pPr>
            <w:r>
              <w:rPr>
                <w:rFonts w:hint="eastAsia" w:ascii="宋体"/>
                <w:sz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93" w:type="dxa"/>
            <w:vMerge w:val="continue"/>
            <w:noWrap/>
            <w:vAlign w:val="center"/>
          </w:tcPr>
          <w:p>
            <w:pPr>
              <w:spacing w:line="480" w:lineRule="exact"/>
              <w:jc w:val="center"/>
              <w:rPr>
                <w:rFonts w:ascii="宋体"/>
                <w:sz w:val="24"/>
              </w:rPr>
            </w:pPr>
          </w:p>
        </w:tc>
        <w:tc>
          <w:tcPr>
            <w:tcW w:w="3685" w:type="dxa"/>
            <w:noWrap/>
          </w:tcPr>
          <w:p>
            <w:pPr>
              <w:spacing w:line="480" w:lineRule="exact"/>
              <w:rPr>
                <w:rFonts w:ascii="宋体"/>
                <w:sz w:val="24"/>
              </w:rPr>
            </w:pPr>
            <w:r>
              <w:rPr>
                <w:rFonts w:hint="eastAsia" w:ascii="宋体"/>
                <w:sz w:val="24"/>
              </w:rPr>
              <w:t>前轴/后轴</w:t>
            </w:r>
            <w:r>
              <w:rPr>
                <w:rFonts w:hint="eastAsia" w:cs="宋体" w:asciiTheme="majorEastAsia" w:hAnsiTheme="majorEastAsia" w:eastAsiaTheme="majorEastAsia"/>
                <w:sz w:val="18"/>
                <w:szCs w:val="18"/>
              </w:rPr>
              <w:t>≥</w:t>
            </w:r>
          </w:p>
        </w:tc>
        <w:tc>
          <w:tcPr>
            <w:tcW w:w="4394" w:type="dxa"/>
            <w:noWrap/>
            <w:vAlign w:val="center"/>
          </w:tcPr>
          <w:p>
            <w:pPr>
              <w:spacing w:line="500" w:lineRule="exact"/>
              <w:jc w:val="center"/>
              <w:rPr>
                <w:rFonts w:ascii="宋体"/>
                <w:sz w:val="24"/>
              </w:rPr>
            </w:pPr>
            <w:r>
              <w:rPr>
                <w:rFonts w:hint="eastAsia" w:ascii="宋体"/>
                <w:sz w:val="24"/>
              </w:rPr>
              <w:t>5600/10400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93" w:type="dxa"/>
            <w:vMerge w:val="restart"/>
            <w:noWrap/>
            <w:vAlign w:val="center"/>
          </w:tcPr>
          <w:p>
            <w:pPr>
              <w:spacing w:line="500" w:lineRule="exact"/>
              <w:ind w:right="-3"/>
              <w:jc w:val="center"/>
              <w:rPr>
                <w:rFonts w:ascii="宋体"/>
                <w:sz w:val="24"/>
              </w:rPr>
            </w:pPr>
            <w:r>
              <w:rPr>
                <w:rFonts w:hint="eastAsia" w:ascii="宋体"/>
                <w:sz w:val="24"/>
              </w:rPr>
              <w:t>外 廓</w:t>
            </w:r>
          </w:p>
          <w:p>
            <w:pPr>
              <w:spacing w:line="500" w:lineRule="exact"/>
              <w:ind w:right="-3"/>
              <w:jc w:val="center"/>
              <w:rPr>
                <w:rFonts w:ascii="宋体"/>
                <w:sz w:val="24"/>
              </w:rPr>
            </w:pPr>
            <w:r>
              <w:rPr>
                <w:rFonts w:hint="eastAsia" w:ascii="宋体"/>
                <w:sz w:val="24"/>
              </w:rPr>
              <w:t>尺 寸（</w:t>
            </w:r>
            <w:r>
              <w:rPr>
                <w:rFonts w:ascii="宋体"/>
                <w:sz w:val="24"/>
              </w:rPr>
              <w:t>mm</w:t>
            </w:r>
            <w:r>
              <w:rPr>
                <w:rFonts w:hint="eastAsia" w:ascii="宋体"/>
                <w:sz w:val="24"/>
              </w:rPr>
              <w:t>）</w:t>
            </w:r>
          </w:p>
        </w:tc>
        <w:tc>
          <w:tcPr>
            <w:tcW w:w="3685" w:type="dxa"/>
            <w:noWrap/>
          </w:tcPr>
          <w:p>
            <w:pPr>
              <w:spacing w:line="500" w:lineRule="exact"/>
              <w:rPr>
                <w:rFonts w:ascii="宋体"/>
                <w:sz w:val="24"/>
              </w:rPr>
            </w:pPr>
            <w:r>
              <w:rPr>
                <w:rFonts w:hint="eastAsia" w:ascii="宋体"/>
                <w:sz w:val="24"/>
              </w:rPr>
              <w:t>长</w:t>
            </w:r>
            <w:r>
              <w:rPr>
                <w:rFonts w:hint="eastAsia" w:cs="宋体" w:asciiTheme="majorEastAsia" w:hAnsiTheme="majorEastAsia" w:eastAsiaTheme="majorEastAsia"/>
                <w:sz w:val="18"/>
                <w:szCs w:val="18"/>
              </w:rPr>
              <w:t>≥</w:t>
            </w:r>
          </w:p>
        </w:tc>
        <w:tc>
          <w:tcPr>
            <w:tcW w:w="4394" w:type="dxa"/>
            <w:noWrap/>
          </w:tcPr>
          <w:p>
            <w:pPr>
              <w:spacing w:line="500" w:lineRule="exact"/>
              <w:jc w:val="center"/>
              <w:rPr>
                <w:rFonts w:ascii="宋体"/>
                <w:sz w:val="24"/>
              </w:rPr>
            </w:pPr>
            <w:r>
              <w:rPr>
                <w:rFonts w:hint="eastAsia" w:ascii="宋体"/>
                <w:sz w:val="24"/>
              </w:rPr>
              <w:t>97</w:t>
            </w:r>
            <w:r>
              <w:rPr>
                <w:rFonts w:ascii="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宽</w:t>
            </w:r>
            <w:r>
              <w:rPr>
                <w:rFonts w:hint="eastAsia" w:cs="宋体" w:asciiTheme="majorEastAsia" w:hAnsiTheme="majorEastAsia" w:eastAsiaTheme="majorEastAsia"/>
                <w:sz w:val="18"/>
                <w:szCs w:val="18"/>
              </w:rPr>
              <w:t>≥</w:t>
            </w:r>
          </w:p>
        </w:tc>
        <w:tc>
          <w:tcPr>
            <w:tcW w:w="4394" w:type="dxa"/>
            <w:noWrap/>
          </w:tcPr>
          <w:p>
            <w:pPr>
              <w:spacing w:line="500" w:lineRule="exact"/>
              <w:jc w:val="center"/>
              <w:rPr>
                <w:rFonts w:ascii="宋体"/>
                <w:sz w:val="24"/>
              </w:rPr>
            </w:pPr>
            <w:r>
              <w:rPr>
                <w:rFonts w:hint="eastAsia" w:ascii="宋体"/>
                <w:sz w:val="24"/>
              </w:rPr>
              <w:t>255</w:t>
            </w:r>
            <w:r>
              <w:rPr>
                <w:rFonts w:asci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高</w:t>
            </w:r>
            <w:r>
              <w:rPr>
                <w:rFonts w:hint="eastAsia" w:cs="宋体" w:asciiTheme="majorEastAsia" w:hAnsiTheme="majorEastAsia" w:eastAsiaTheme="majorEastAsia"/>
                <w:sz w:val="18"/>
                <w:szCs w:val="18"/>
              </w:rPr>
              <w:t>≥</w:t>
            </w:r>
          </w:p>
        </w:tc>
        <w:tc>
          <w:tcPr>
            <w:tcW w:w="4394" w:type="dxa"/>
            <w:noWrap/>
          </w:tcPr>
          <w:p>
            <w:pPr>
              <w:spacing w:line="500" w:lineRule="exact"/>
              <w:jc w:val="center"/>
              <w:rPr>
                <w:rFonts w:ascii="宋体"/>
                <w:sz w:val="24"/>
              </w:rPr>
            </w:pPr>
            <w:r>
              <w:rPr>
                <w:rFonts w:hint="eastAsia" w:ascii="宋体"/>
                <w:sz w:val="24"/>
              </w:rPr>
              <w:t>285</w:t>
            </w:r>
            <w:r>
              <w:rPr>
                <w:rFonts w:asci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678" w:type="dxa"/>
            <w:gridSpan w:val="2"/>
            <w:noWrap/>
          </w:tcPr>
          <w:p>
            <w:pPr>
              <w:spacing w:line="480" w:lineRule="exact"/>
              <w:rPr>
                <w:rFonts w:ascii="宋体"/>
                <w:sz w:val="24"/>
              </w:rPr>
            </w:pPr>
            <w:r>
              <w:rPr>
                <w:rFonts w:hint="eastAsia" w:ascii="宋体"/>
                <w:sz w:val="24"/>
              </w:rPr>
              <w:t>★轴距（</w:t>
            </w:r>
            <w:r>
              <w:rPr>
                <w:rFonts w:ascii="宋体"/>
                <w:sz w:val="24"/>
              </w:rPr>
              <w:t>mm</w:t>
            </w:r>
            <w:r>
              <w:rPr>
                <w:rFonts w:hint="eastAsia" w:ascii="宋体"/>
                <w:sz w:val="24"/>
              </w:rPr>
              <w:t>）</w:t>
            </w:r>
          </w:p>
        </w:tc>
        <w:tc>
          <w:tcPr>
            <w:tcW w:w="4394" w:type="dxa"/>
            <w:noWrap/>
          </w:tcPr>
          <w:p>
            <w:pPr>
              <w:spacing w:line="480" w:lineRule="exact"/>
              <w:jc w:val="center"/>
              <w:rPr>
                <w:rFonts w:ascii="宋体"/>
                <w:sz w:val="24"/>
              </w:rPr>
            </w:pPr>
            <w:r>
              <w:rPr>
                <w:rFonts w:hint="eastAsia" w:ascii="宋体"/>
                <w:sz w:val="24"/>
              </w:rPr>
              <w:t>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678" w:type="dxa"/>
            <w:gridSpan w:val="2"/>
            <w:noWrap/>
          </w:tcPr>
          <w:p>
            <w:pPr>
              <w:spacing w:line="480" w:lineRule="exact"/>
              <w:rPr>
                <w:rFonts w:ascii="宋体"/>
                <w:sz w:val="24"/>
              </w:rPr>
            </w:pPr>
            <w:r>
              <w:rPr>
                <w:rFonts w:hint="eastAsia" w:ascii="宋体"/>
                <w:sz w:val="24"/>
              </w:rPr>
              <w:t>轮距(前/后)(</w:t>
            </w:r>
            <w:r>
              <w:rPr>
                <w:rFonts w:ascii="宋体"/>
                <w:sz w:val="24"/>
              </w:rPr>
              <w:t>mm</w:t>
            </w:r>
            <w:r>
              <w:rPr>
                <w:rFonts w:hint="eastAsia" w:ascii="宋体"/>
                <w:sz w:val="24"/>
              </w:rPr>
              <w:t>)</w:t>
            </w:r>
            <w:r>
              <w:rPr>
                <w:rFonts w:hint="eastAsia" w:cs="宋体" w:asciiTheme="majorEastAsia" w:hAnsiTheme="majorEastAsia" w:eastAsiaTheme="majorEastAsia"/>
                <w:sz w:val="18"/>
                <w:szCs w:val="18"/>
              </w:rPr>
              <w:t xml:space="preserve"> ≥</w:t>
            </w:r>
          </w:p>
        </w:tc>
        <w:tc>
          <w:tcPr>
            <w:tcW w:w="4394" w:type="dxa"/>
            <w:noWrap/>
          </w:tcPr>
          <w:p>
            <w:pPr>
              <w:spacing w:line="480" w:lineRule="exact"/>
              <w:jc w:val="center"/>
              <w:rPr>
                <w:rFonts w:ascii="宋体"/>
                <w:sz w:val="24"/>
              </w:rPr>
            </w:pPr>
            <w:r>
              <w:rPr>
                <w:rFonts w:hint="eastAsia" w:ascii="宋体"/>
                <w:sz w:val="24"/>
              </w:rPr>
              <w:t>1970/1800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678" w:type="dxa"/>
            <w:gridSpan w:val="2"/>
            <w:noWrap/>
          </w:tcPr>
          <w:p>
            <w:pPr>
              <w:spacing w:line="480" w:lineRule="exact"/>
              <w:rPr>
                <w:rFonts w:ascii="宋体"/>
                <w:sz w:val="24"/>
              </w:rPr>
            </w:pPr>
            <w:r>
              <w:rPr>
                <w:rFonts w:hint="eastAsia" w:ascii="宋体"/>
                <w:sz w:val="24"/>
              </w:rPr>
              <w:t>前悬/后悬(</w:t>
            </w:r>
            <w:r>
              <w:rPr>
                <w:rFonts w:ascii="宋体"/>
                <w:sz w:val="24"/>
              </w:rPr>
              <w:t>mm</w:t>
            </w:r>
            <w:r>
              <w:rPr>
                <w:rFonts w:hint="eastAsia" w:ascii="宋体"/>
                <w:sz w:val="24"/>
              </w:rPr>
              <w:t>)</w:t>
            </w:r>
            <w:r>
              <w:rPr>
                <w:rFonts w:hint="eastAsia" w:cs="宋体" w:asciiTheme="majorEastAsia" w:hAnsiTheme="majorEastAsia" w:eastAsiaTheme="majorEastAsia"/>
                <w:sz w:val="18"/>
                <w:szCs w:val="18"/>
              </w:rPr>
              <w:t xml:space="preserve"> ≥</w:t>
            </w:r>
          </w:p>
        </w:tc>
        <w:tc>
          <w:tcPr>
            <w:tcW w:w="4394" w:type="dxa"/>
            <w:noWrap/>
          </w:tcPr>
          <w:p>
            <w:pPr>
              <w:spacing w:line="480" w:lineRule="exact"/>
              <w:jc w:val="center"/>
              <w:rPr>
                <w:rFonts w:ascii="宋体"/>
                <w:sz w:val="24"/>
              </w:rPr>
            </w:pPr>
            <w:r>
              <w:rPr>
                <w:rFonts w:ascii="宋体"/>
                <w:sz w:val="24"/>
              </w:rPr>
              <w:t>1270</w:t>
            </w:r>
            <w:r>
              <w:rPr>
                <w:rFonts w:hint="eastAsia" w:ascii="宋体"/>
                <w:sz w:val="24"/>
              </w:rPr>
              <w:t>/33</w:t>
            </w:r>
            <w:r>
              <w:rPr>
                <w:rFonts w:ascii="宋体"/>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678" w:type="dxa"/>
            <w:gridSpan w:val="2"/>
            <w:noWrap/>
          </w:tcPr>
          <w:p>
            <w:pPr>
              <w:spacing w:line="480" w:lineRule="exact"/>
              <w:rPr>
                <w:rFonts w:ascii="宋体"/>
                <w:sz w:val="24"/>
              </w:rPr>
            </w:pPr>
            <w:r>
              <w:rPr>
                <w:rFonts w:hint="eastAsia" w:ascii="宋体"/>
                <w:sz w:val="24"/>
              </w:rPr>
              <w:t>接近/离去角（°）</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78" w:type="dxa"/>
            <w:gridSpan w:val="2"/>
            <w:noWrap/>
          </w:tcPr>
          <w:p>
            <w:pPr>
              <w:spacing w:line="480" w:lineRule="exact"/>
              <w:rPr>
                <w:rFonts w:ascii="宋体"/>
                <w:sz w:val="24"/>
              </w:rPr>
            </w:pPr>
            <w:r>
              <w:rPr>
                <w:rFonts w:hint="eastAsia" w:ascii="宋体"/>
                <w:sz w:val="24"/>
              </w:rPr>
              <w:t>★驱动形式</w:t>
            </w:r>
          </w:p>
        </w:tc>
        <w:tc>
          <w:tcPr>
            <w:tcW w:w="4394" w:type="dxa"/>
            <w:noWrap/>
          </w:tcPr>
          <w:p>
            <w:pPr>
              <w:spacing w:line="480" w:lineRule="exact"/>
              <w:jc w:val="center"/>
              <w:rPr>
                <w:rFonts w:ascii="宋体"/>
                <w:sz w:val="24"/>
              </w:rPr>
            </w:pPr>
            <w:r>
              <w:rPr>
                <w:rFonts w:ascii="宋体"/>
                <w:sz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4678" w:type="dxa"/>
            <w:gridSpan w:val="2"/>
            <w:noWrap/>
          </w:tcPr>
          <w:p>
            <w:pPr>
              <w:spacing w:line="480" w:lineRule="exact"/>
              <w:rPr>
                <w:rFonts w:ascii="宋体"/>
                <w:sz w:val="24"/>
              </w:rPr>
            </w:pPr>
            <w:r>
              <w:rPr>
                <w:rFonts w:hint="eastAsia" w:ascii="宋体"/>
                <w:sz w:val="24"/>
              </w:rPr>
              <w:t>★轮胎规格</w:t>
            </w:r>
          </w:p>
        </w:tc>
        <w:tc>
          <w:tcPr>
            <w:tcW w:w="4394" w:type="dxa"/>
            <w:noWrap/>
          </w:tcPr>
          <w:p>
            <w:pPr>
              <w:spacing w:line="480" w:lineRule="exact"/>
              <w:jc w:val="center"/>
              <w:rPr>
                <w:rFonts w:ascii="宋体"/>
                <w:sz w:val="24"/>
              </w:rPr>
            </w:pPr>
            <w:r>
              <w:rPr>
                <w:rFonts w:ascii="宋体"/>
                <w:sz w:val="24"/>
              </w:rPr>
              <w:t>9.00R20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678" w:type="dxa"/>
            <w:gridSpan w:val="2"/>
            <w:noWrap/>
          </w:tcPr>
          <w:p>
            <w:pPr>
              <w:spacing w:line="480" w:lineRule="exact"/>
              <w:rPr>
                <w:rFonts w:ascii="宋体"/>
                <w:sz w:val="24"/>
              </w:rPr>
            </w:pPr>
            <w:r>
              <w:rPr>
                <w:rFonts w:hint="eastAsia" w:ascii="宋体"/>
                <w:sz w:val="24"/>
              </w:rPr>
              <w:t>最高车速（</w:t>
            </w:r>
            <w:r>
              <w:rPr>
                <w:rFonts w:ascii="宋体"/>
                <w:sz w:val="24"/>
              </w:rPr>
              <w:t>km/h</w:t>
            </w:r>
            <w:r>
              <w:rPr>
                <w:rFonts w:hint="eastAsia" w:ascii="宋体"/>
                <w:sz w:val="24"/>
              </w:rPr>
              <w:t>）</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8" w:type="dxa"/>
            <w:gridSpan w:val="2"/>
            <w:noWrap/>
          </w:tcPr>
          <w:p>
            <w:pPr>
              <w:spacing w:line="480" w:lineRule="exact"/>
              <w:rPr>
                <w:rFonts w:ascii="宋体"/>
                <w:sz w:val="24"/>
              </w:rPr>
            </w:pPr>
            <w:r>
              <w:rPr>
                <w:rFonts w:hint="eastAsia" w:ascii="宋体"/>
                <w:sz w:val="24"/>
              </w:rPr>
              <w:t>爬坡能力（%）</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78" w:type="dxa"/>
            <w:gridSpan w:val="2"/>
            <w:noWrap/>
          </w:tcPr>
          <w:p>
            <w:pPr>
              <w:spacing w:line="480" w:lineRule="exact"/>
              <w:rPr>
                <w:rFonts w:ascii="宋体"/>
                <w:sz w:val="24"/>
              </w:rPr>
            </w:pPr>
            <w:r>
              <w:rPr>
                <w:rFonts w:hint="eastAsia" w:ascii="宋体"/>
                <w:sz w:val="24"/>
              </w:rPr>
              <w:t>最小转弯直径（</w:t>
            </w:r>
            <w:r>
              <w:rPr>
                <w:rFonts w:ascii="宋体"/>
                <w:sz w:val="24"/>
              </w:rPr>
              <w:t>m</w:t>
            </w:r>
            <w:r>
              <w:rPr>
                <w:rFonts w:hint="eastAsia" w:ascii="宋体"/>
                <w:sz w:val="24"/>
              </w:rPr>
              <w:t>）</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678" w:type="dxa"/>
            <w:gridSpan w:val="2"/>
            <w:noWrap/>
          </w:tcPr>
          <w:p>
            <w:pPr>
              <w:spacing w:line="480" w:lineRule="exact"/>
              <w:rPr>
                <w:rFonts w:ascii="宋体"/>
                <w:sz w:val="24"/>
              </w:rPr>
            </w:pPr>
            <w:r>
              <w:rPr>
                <w:rFonts w:hint="eastAsia" w:ascii="宋体"/>
                <w:sz w:val="24"/>
              </w:rPr>
              <w:t>最小离地间隙（</w:t>
            </w:r>
            <w:r>
              <w:rPr>
                <w:rFonts w:ascii="宋体"/>
                <w:sz w:val="24"/>
              </w:rPr>
              <w:t>mm</w:t>
            </w:r>
            <w:r>
              <w:rPr>
                <w:rFonts w:hint="eastAsia" w:ascii="宋体"/>
                <w:sz w:val="24"/>
              </w:rPr>
              <w:t>）</w:t>
            </w:r>
            <w:r>
              <w:rPr>
                <w:rFonts w:hint="eastAsia" w:cs="宋体" w:asciiTheme="majorEastAsia" w:hAnsiTheme="majorEastAsia" w:eastAsiaTheme="majorEastAsia"/>
                <w:sz w:val="18"/>
                <w:szCs w:val="18"/>
              </w:rPr>
              <w:t>≥</w:t>
            </w:r>
          </w:p>
        </w:tc>
        <w:tc>
          <w:tcPr>
            <w:tcW w:w="4394" w:type="dxa"/>
            <w:noWrap/>
          </w:tcPr>
          <w:p>
            <w:pPr>
              <w:spacing w:line="480" w:lineRule="exact"/>
              <w:jc w:val="center"/>
              <w:rPr>
                <w:rFonts w:ascii="宋体"/>
                <w:sz w:val="24"/>
              </w:rPr>
            </w:pPr>
            <w:r>
              <w:rPr>
                <w:rFonts w:hint="eastAsia" w:ascii="宋体"/>
                <w:sz w:val="24"/>
              </w:rPr>
              <w:t>2</w:t>
            </w:r>
            <w:r>
              <w:rPr>
                <w:rFonts w:asci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993" w:type="dxa"/>
            <w:vMerge w:val="restart"/>
            <w:noWrap/>
          </w:tcPr>
          <w:p>
            <w:pPr>
              <w:spacing w:line="500" w:lineRule="exact"/>
              <w:jc w:val="center"/>
              <w:rPr>
                <w:rFonts w:ascii="宋体"/>
                <w:sz w:val="24"/>
              </w:rPr>
            </w:pPr>
            <w:r>
              <w:rPr>
                <w:rFonts w:hint="eastAsia" w:ascii="宋体"/>
                <w:sz w:val="24"/>
              </w:rPr>
              <w:t>发</w:t>
            </w:r>
          </w:p>
          <w:p>
            <w:pPr>
              <w:spacing w:line="500" w:lineRule="exact"/>
              <w:jc w:val="center"/>
              <w:rPr>
                <w:rFonts w:ascii="宋体"/>
                <w:sz w:val="24"/>
              </w:rPr>
            </w:pPr>
            <w:r>
              <w:rPr>
                <w:rFonts w:hint="eastAsia" w:ascii="宋体"/>
                <w:sz w:val="24"/>
              </w:rPr>
              <w:t>动</w:t>
            </w:r>
          </w:p>
          <w:p>
            <w:pPr>
              <w:spacing w:line="500" w:lineRule="exact"/>
              <w:jc w:val="center"/>
              <w:rPr>
                <w:rFonts w:ascii="宋体"/>
                <w:sz w:val="24"/>
              </w:rPr>
            </w:pPr>
            <w:r>
              <w:rPr>
                <w:rFonts w:hint="eastAsia" w:ascii="宋体"/>
                <w:sz w:val="24"/>
              </w:rPr>
              <w:t>机</w:t>
            </w:r>
          </w:p>
        </w:tc>
        <w:tc>
          <w:tcPr>
            <w:tcW w:w="3685" w:type="dxa"/>
            <w:noWrap/>
          </w:tcPr>
          <w:p>
            <w:pPr>
              <w:spacing w:line="500" w:lineRule="exact"/>
              <w:rPr>
                <w:rFonts w:ascii="宋体"/>
                <w:sz w:val="24"/>
              </w:rPr>
            </w:pPr>
            <w:r>
              <w:rPr>
                <w:rFonts w:hint="eastAsia" w:ascii="宋体"/>
                <w:sz w:val="24"/>
              </w:rPr>
              <w:t>★型号</w:t>
            </w:r>
          </w:p>
        </w:tc>
        <w:tc>
          <w:tcPr>
            <w:tcW w:w="4394" w:type="dxa"/>
            <w:noWrap/>
          </w:tcPr>
          <w:p>
            <w:pPr>
              <w:spacing w:line="500" w:lineRule="exact"/>
              <w:jc w:val="center"/>
              <w:rPr>
                <w:rFonts w:ascii="宋体"/>
                <w:sz w:val="24"/>
              </w:rPr>
            </w:pPr>
            <w:r>
              <w:rPr>
                <w:rFonts w:ascii="宋体"/>
                <w:sz w:val="24"/>
              </w:rPr>
              <w:t>F4.5NS6B190</w:t>
            </w:r>
            <w:r>
              <w:rPr>
                <w:rFonts w:hint="eastAsia" w:ascii="宋体" w:hAnsi="宋体"/>
                <w:sz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★功率（</w:t>
            </w:r>
            <w:r>
              <w:rPr>
                <w:rFonts w:ascii="宋体"/>
                <w:sz w:val="24"/>
              </w:rPr>
              <w:t>k</w:t>
            </w:r>
            <w:r>
              <w:rPr>
                <w:rFonts w:hint="eastAsia" w:ascii="宋体"/>
                <w:sz w:val="24"/>
              </w:rPr>
              <w:t>W</w:t>
            </w:r>
            <w:r>
              <w:rPr>
                <w:rFonts w:ascii="宋体"/>
                <w:sz w:val="24"/>
              </w:rPr>
              <w:t>/r/min</w:t>
            </w:r>
            <w:r>
              <w:rPr>
                <w:rFonts w:hint="eastAsia" w:ascii="宋体"/>
                <w:sz w:val="24"/>
              </w:rPr>
              <w:t>）</w:t>
            </w:r>
          </w:p>
        </w:tc>
        <w:tc>
          <w:tcPr>
            <w:tcW w:w="4394" w:type="dxa"/>
            <w:noWrap/>
            <w:vAlign w:val="center"/>
          </w:tcPr>
          <w:p>
            <w:pPr>
              <w:spacing w:line="440" w:lineRule="exact"/>
              <w:jc w:val="center"/>
              <w:rPr>
                <w:rFonts w:ascii="宋体" w:hAnsi="宋体"/>
                <w:sz w:val="24"/>
              </w:rPr>
            </w:pPr>
            <w:r>
              <w:rPr>
                <w:rFonts w:hint="eastAsia" w:ascii="宋体" w:hAnsi="宋体"/>
                <w:sz w:val="24"/>
              </w:rPr>
              <w:t>140</w:t>
            </w:r>
            <w:r>
              <w:rPr>
                <w:rFonts w:ascii="宋体" w:hAnsi="宋体"/>
                <w:sz w:val="24"/>
              </w:rPr>
              <w:t>/2</w:t>
            </w:r>
            <w:r>
              <w:rPr>
                <w:rFonts w:hint="eastAsia" w:ascii="宋体" w:hAnsi="宋体"/>
                <w:sz w:val="24"/>
              </w:rPr>
              <w:t>3</w:t>
            </w:r>
            <w:r>
              <w:rPr>
                <w:rFonts w:ascii="宋体" w:hAnsi="宋体"/>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993" w:type="dxa"/>
            <w:vMerge w:val="continue"/>
            <w:noWrap/>
          </w:tcPr>
          <w:p>
            <w:pPr>
              <w:spacing w:line="500" w:lineRule="exact"/>
              <w:rPr>
                <w:rFonts w:ascii="宋体"/>
                <w:sz w:val="24"/>
              </w:rPr>
            </w:pPr>
          </w:p>
        </w:tc>
        <w:tc>
          <w:tcPr>
            <w:tcW w:w="3685" w:type="dxa"/>
            <w:noWrap/>
          </w:tcPr>
          <w:p>
            <w:pPr>
              <w:spacing w:line="500" w:lineRule="exact"/>
              <w:rPr>
                <w:rFonts w:ascii="宋体"/>
                <w:sz w:val="24"/>
              </w:rPr>
            </w:pPr>
            <w:r>
              <w:rPr>
                <w:rFonts w:hint="eastAsia" w:ascii="宋体"/>
                <w:sz w:val="24"/>
              </w:rPr>
              <w:t>扭矩（</w:t>
            </w:r>
            <w:r>
              <w:rPr>
                <w:rFonts w:ascii="宋体"/>
                <w:sz w:val="24"/>
              </w:rPr>
              <w:t>N</w:t>
            </w:r>
            <w:r>
              <w:rPr>
                <w:rFonts w:hint="eastAsia" w:ascii="宋体"/>
                <w:sz w:val="24"/>
              </w:rPr>
              <w:t>·</w:t>
            </w:r>
            <w:r>
              <w:rPr>
                <w:rFonts w:ascii="宋体"/>
                <w:sz w:val="24"/>
              </w:rPr>
              <w:t>m/r/min</w:t>
            </w:r>
            <w:r>
              <w:rPr>
                <w:rFonts w:hint="eastAsia" w:ascii="宋体"/>
                <w:sz w:val="24"/>
              </w:rPr>
              <w:t>）</w:t>
            </w:r>
            <w:r>
              <w:rPr>
                <w:rFonts w:hint="eastAsia" w:cs="宋体" w:asciiTheme="majorEastAsia" w:hAnsiTheme="majorEastAsia" w:eastAsiaTheme="majorEastAsia"/>
                <w:sz w:val="18"/>
                <w:szCs w:val="18"/>
              </w:rPr>
              <w:t>≥</w:t>
            </w:r>
          </w:p>
        </w:tc>
        <w:tc>
          <w:tcPr>
            <w:tcW w:w="4394" w:type="dxa"/>
            <w:noWrap/>
            <w:vAlign w:val="center"/>
          </w:tcPr>
          <w:p>
            <w:pPr>
              <w:spacing w:line="440" w:lineRule="exact"/>
              <w:jc w:val="center"/>
              <w:rPr>
                <w:rFonts w:ascii="宋体" w:hAnsi="宋体"/>
                <w:sz w:val="24"/>
              </w:rPr>
            </w:pPr>
            <w:r>
              <w:rPr>
                <w:rFonts w:hint="eastAsia" w:ascii="宋体" w:hAnsi="宋体"/>
                <w:sz w:val="24"/>
              </w:rPr>
              <w:t>700/1100-1800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678" w:type="dxa"/>
            <w:gridSpan w:val="2"/>
            <w:noWrap/>
          </w:tcPr>
          <w:p>
            <w:pPr>
              <w:spacing w:line="440" w:lineRule="exact"/>
              <w:rPr>
                <w:rFonts w:ascii="宋体" w:hAnsi="宋体"/>
                <w:sz w:val="24"/>
              </w:rPr>
            </w:pPr>
            <w:r>
              <w:rPr>
                <w:rFonts w:hint="eastAsia" w:ascii="宋体" w:hAnsi="宋体"/>
                <w:sz w:val="24"/>
              </w:rPr>
              <w:t>油类</w:t>
            </w:r>
          </w:p>
        </w:tc>
        <w:tc>
          <w:tcPr>
            <w:tcW w:w="4394" w:type="dxa"/>
            <w:noWrap/>
          </w:tcPr>
          <w:p>
            <w:pPr>
              <w:spacing w:line="440" w:lineRule="exact"/>
              <w:jc w:val="center"/>
              <w:rPr>
                <w:rFonts w:ascii="宋体" w:hAnsi="宋体"/>
                <w:sz w:val="24"/>
              </w:rPr>
            </w:pPr>
            <w:r>
              <w:rPr>
                <w:rFonts w:hint="eastAsia" w:ascii="宋体" w:hAnsi="宋体"/>
                <w:sz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678" w:type="dxa"/>
            <w:gridSpan w:val="2"/>
            <w:noWrap/>
          </w:tcPr>
          <w:p>
            <w:pPr>
              <w:spacing w:line="500" w:lineRule="exact"/>
              <w:rPr>
                <w:rFonts w:ascii="宋体"/>
                <w:sz w:val="24"/>
              </w:rPr>
            </w:pPr>
            <w:r>
              <w:rPr>
                <w:rFonts w:hint="eastAsia" w:ascii="宋体"/>
                <w:sz w:val="24"/>
              </w:rPr>
              <w:t>★最大托牵质量（</w:t>
            </w:r>
            <w:r>
              <w:rPr>
                <w:rFonts w:ascii="宋体"/>
                <w:sz w:val="24"/>
              </w:rPr>
              <w:t>kg</w:t>
            </w:r>
            <w:r>
              <w:rPr>
                <w:rFonts w:hint="eastAsia" w:ascii="宋体"/>
                <w:sz w:val="24"/>
              </w:rPr>
              <w:t>）</w:t>
            </w:r>
          </w:p>
        </w:tc>
        <w:tc>
          <w:tcPr>
            <w:tcW w:w="4394" w:type="dxa"/>
            <w:noWrap/>
          </w:tcPr>
          <w:p>
            <w:pPr>
              <w:spacing w:line="500" w:lineRule="exact"/>
              <w:jc w:val="center"/>
              <w:rPr>
                <w:rFonts w:ascii="宋体"/>
                <w:sz w:val="24"/>
              </w:rPr>
            </w:pPr>
            <w:r>
              <w:rPr>
                <w:rFonts w:hint="eastAsia" w:ascii="宋体"/>
                <w:sz w:val="24"/>
              </w:rPr>
              <w:t>16000</w:t>
            </w:r>
          </w:p>
        </w:tc>
      </w:tr>
    </w:tbl>
    <w:p>
      <w:pPr>
        <w:pStyle w:val="2"/>
        <w:rPr>
          <w:rFonts w:ascii="Times New Roman" w:hAnsi="Times New Roman" w:cs="Times New Roman"/>
          <w:szCs w:val="21"/>
        </w:rPr>
      </w:pPr>
    </w:p>
    <w:p>
      <w:pPr>
        <w:pStyle w:val="2"/>
        <w:rPr>
          <w:rFonts w:ascii="Times New Roman" w:hAnsi="Times New Roman" w:cs="Times New Roman"/>
          <w:szCs w:val="21"/>
        </w:rPr>
      </w:pPr>
    </w:p>
    <w:tbl>
      <w:tblPr>
        <w:tblStyle w:val="1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4511"/>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tcPr>
          <w:p>
            <w:pPr>
              <w:spacing w:line="440" w:lineRule="exact"/>
              <w:rPr>
                <w:rFonts w:ascii="宋体" w:hAnsi="宋体"/>
                <w:sz w:val="24"/>
              </w:rPr>
            </w:pPr>
            <w:r>
              <w:rPr>
                <w:rFonts w:hint="eastAsia" w:ascii="宋体" w:hAnsi="宋体"/>
                <w:sz w:val="24"/>
              </w:rPr>
              <w:t>名    称</w:t>
            </w:r>
          </w:p>
        </w:tc>
        <w:tc>
          <w:tcPr>
            <w:tcW w:w="3785" w:type="dxa"/>
          </w:tcPr>
          <w:p>
            <w:pPr>
              <w:spacing w:line="440" w:lineRule="exact"/>
              <w:jc w:val="center"/>
              <w:rPr>
                <w:rFonts w:ascii="宋体" w:hAnsi="宋体"/>
                <w:sz w:val="24"/>
              </w:rPr>
            </w:pPr>
            <w:r>
              <w:rPr>
                <w:rFonts w:hint="eastAsia" w:ascii="宋体" w:hAnsi="宋体"/>
                <w:sz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353" w:type="dxa"/>
            <w:gridSpan w:val="2"/>
          </w:tcPr>
          <w:p>
            <w:pPr>
              <w:spacing w:line="500" w:lineRule="exact"/>
              <w:rPr>
                <w:rFonts w:ascii="宋体"/>
                <w:sz w:val="24"/>
              </w:rPr>
            </w:pPr>
            <w:r>
              <w:rPr>
                <w:rFonts w:hint="eastAsia" w:ascii="宋体"/>
                <w:sz w:val="24"/>
              </w:rPr>
              <w:t>★上装型式</w:t>
            </w:r>
          </w:p>
        </w:tc>
        <w:tc>
          <w:tcPr>
            <w:tcW w:w="3785" w:type="dxa"/>
          </w:tcPr>
          <w:p>
            <w:pPr>
              <w:spacing w:line="500" w:lineRule="exact"/>
              <w:rPr>
                <w:rFonts w:ascii="宋体"/>
                <w:sz w:val="24"/>
              </w:rPr>
            </w:pPr>
            <w:r>
              <w:rPr>
                <w:rFonts w:ascii="宋体"/>
                <w:sz w:val="24"/>
              </w:rPr>
              <w:t>8</w:t>
            </w:r>
            <w:r>
              <w:rPr>
                <w:rFonts w:hint="eastAsia" w:ascii="宋体"/>
                <w:sz w:val="24"/>
              </w:rPr>
              <w:t>吨平板、板面为加强板、尾板竖立折叠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restart"/>
            <w:vAlign w:val="center"/>
          </w:tcPr>
          <w:p>
            <w:pPr>
              <w:spacing w:line="440" w:lineRule="exact"/>
              <w:jc w:val="center"/>
              <w:rPr>
                <w:rFonts w:ascii="宋体" w:hAnsi="宋体"/>
                <w:sz w:val="24"/>
              </w:rPr>
            </w:pPr>
            <w:r>
              <w:rPr>
                <w:rFonts w:hint="eastAsia" w:ascii="宋体" w:hAnsi="宋体"/>
                <w:sz w:val="24"/>
              </w:rPr>
              <w:t>托</w:t>
            </w:r>
          </w:p>
          <w:p>
            <w:pPr>
              <w:spacing w:line="440" w:lineRule="exact"/>
              <w:jc w:val="center"/>
              <w:rPr>
                <w:rFonts w:ascii="宋体" w:hAnsi="宋体"/>
                <w:sz w:val="24"/>
              </w:rPr>
            </w:pPr>
            <w:r>
              <w:rPr>
                <w:rFonts w:hint="eastAsia" w:ascii="宋体" w:hAnsi="宋体"/>
                <w:sz w:val="24"/>
              </w:rPr>
              <w:t>举</w:t>
            </w:r>
          </w:p>
          <w:p>
            <w:pPr>
              <w:spacing w:line="440" w:lineRule="exact"/>
              <w:jc w:val="center"/>
              <w:rPr>
                <w:rFonts w:ascii="宋体" w:hAnsi="宋体"/>
                <w:sz w:val="24"/>
              </w:rPr>
            </w:pPr>
            <w:r>
              <w:rPr>
                <w:rFonts w:hint="eastAsia" w:ascii="宋体" w:hAnsi="宋体"/>
                <w:sz w:val="24"/>
              </w:rPr>
              <w:t>系</w:t>
            </w:r>
          </w:p>
          <w:p>
            <w:pPr>
              <w:spacing w:line="440" w:lineRule="exact"/>
              <w:jc w:val="center"/>
              <w:rPr>
                <w:rFonts w:ascii="宋体" w:hAnsi="宋体"/>
                <w:sz w:val="24"/>
              </w:rPr>
            </w:pPr>
            <w:r>
              <w:rPr>
                <w:rFonts w:hint="eastAsia" w:ascii="宋体" w:hAnsi="宋体"/>
                <w:sz w:val="24"/>
              </w:rPr>
              <w:t>统</w:t>
            </w: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最大托举质量（kg）</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63</w:t>
            </w:r>
            <w:r>
              <w:rPr>
                <w:rFonts w:ascii="宋体" w:hAnsi="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全伸出最大托举质量（kg）</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41</w:t>
            </w:r>
            <w:r>
              <w:rPr>
                <w:rFonts w:ascii="宋体" w:hAnsi="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托臂最大有效长度 （</w:t>
            </w:r>
            <w:r>
              <w:rPr>
                <w:rFonts w:ascii="宋体" w:hAnsi="宋体"/>
                <w:sz w:val="24"/>
              </w:rPr>
              <w:t>mm</w:t>
            </w:r>
            <w:r>
              <w:rPr>
                <w:rFonts w:hint="eastAsia" w:ascii="宋体" w:hAnsi="宋体"/>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MERGEFIELD 托臂有效长度（mm）</w:instrText>
            </w:r>
            <w:r>
              <w:rPr>
                <w:rFonts w:ascii="宋体" w:hAnsi="宋体"/>
                <w:color w:val="auto"/>
                <w:sz w:val="24"/>
              </w:rPr>
              <w:fldChar w:fldCharType="separate"/>
            </w:r>
            <w:r>
              <w:rPr>
                <w:rFonts w:hint="eastAsia" w:ascii="宋体" w:hAnsi="宋体"/>
                <w:color w:val="auto"/>
                <w:sz w:val="24"/>
              </w:rPr>
              <w:t>1800</w:t>
            </w:r>
            <w:r>
              <w:rPr>
                <w:rFonts w:ascii="宋体" w:hAnsi="宋体"/>
                <w:color w:val="auto"/>
                <w:sz w:val="24"/>
              </w:rPr>
              <w:fldChar w:fldCharType="end"/>
            </w:r>
            <w:r>
              <w:rPr>
                <w:rFonts w:hint="eastAsia" w:ascii="宋体" w:hAnsi="宋体"/>
                <w:color w:val="auto"/>
                <w:sz w:val="24"/>
              </w:rPr>
              <w:t>(尾板放平)，2800（尾板竖立）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托臂伸缩行程（</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折叠角度（</w:t>
            </w:r>
            <w:r>
              <w:rPr>
                <w:rFonts w:hint="eastAsia" w:ascii="宋体" w:hAnsi="宋体"/>
                <w:sz w:val="24"/>
                <w:vertAlign w:val="superscript"/>
              </w:rPr>
              <w:t>0</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"托臂折叠角度 （°）" </w:instrText>
            </w:r>
            <w:r>
              <w:rPr>
                <w:rFonts w:ascii="宋体" w:hAnsi="宋体"/>
                <w:color w:val="auto"/>
                <w:sz w:val="24"/>
              </w:rPr>
              <w:fldChar w:fldCharType="separate"/>
            </w:r>
            <w:r>
              <w:rPr>
                <w:rFonts w:ascii="宋体" w:hAnsi="宋体"/>
                <w:color w:val="auto"/>
                <w:sz w:val="24"/>
              </w:rPr>
              <w:t xml:space="preserve"> -8～12</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全伸出托叉口离地最大距离（</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11</w:t>
            </w:r>
            <w:r>
              <w:rPr>
                <w:rFonts w:ascii="宋体" w:hAnsi="宋体"/>
                <w:color w:val="auto"/>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restart"/>
            <w:vAlign w:val="center"/>
          </w:tcPr>
          <w:p>
            <w:pPr>
              <w:spacing w:line="440" w:lineRule="exact"/>
              <w:jc w:val="center"/>
              <w:rPr>
                <w:rFonts w:ascii="宋体" w:hAnsi="宋体"/>
                <w:sz w:val="24"/>
              </w:rPr>
            </w:pPr>
            <w:r>
              <w:rPr>
                <w:rFonts w:hint="eastAsia" w:ascii="宋体" w:hAnsi="宋体"/>
                <w:sz w:val="24"/>
              </w:rPr>
              <w:t>平</w:t>
            </w:r>
          </w:p>
          <w:p>
            <w:pPr>
              <w:spacing w:line="440" w:lineRule="exact"/>
              <w:jc w:val="center"/>
              <w:rPr>
                <w:rFonts w:ascii="宋体" w:hAnsi="宋体"/>
                <w:sz w:val="24"/>
              </w:rPr>
            </w:pPr>
            <w:r>
              <w:rPr>
                <w:rFonts w:hint="eastAsia" w:ascii="宋体" w:hAnsi="宋体"/>
                <w:sz w:val="24"/>
              </w:rPr>
              <w:t>板</w:t>
            </w:r>
          </w:p>
          <w:p>
            <w:pPr>
              <w:spacing w:line="440" w:lineRule="exact"/>
              <w:jc w:val="center"/>
              <w:rPr>
                <w:rFonts w:ascii="宋体" w:hAnsi="宋体"/>
                <w:sz w:val="24"/>
              </w:rPr>
            </w:pPr>
            <w:r>
              <w:rPr>
                <w:rFonts w:hint="eastAsia" w:ascii="宋体" w:hAnsi="宋体"/>
                <w:sz w:val="24"/>
              </w:rPr>
              <w:t>装</w:t>
            </w:r>
          </w:p>
          <w:p>
            <w:pPr>
              <w:spacing w:line="440" w:lineRule="exact"/>
              <w:jc w:val="center"/>
              <w:rPr>
                <w:rFonts w:ascii="宋体" w:hAnsi="宋体"/>
                <w:sz w:val="24"/>
              </w:rPr>
            </w:pPr>
            <w:r>
              <w:rPr>
                <w:rFonts w:hint="eastAsia" w:ascii="宋体" w:hAnsi="宋体"/>
                <w:sz w:val="24"/>
              </w:rPr>
              <w:t>置</w:t>
            </w:r>
          </w:p>
        </w:tc>
        <w:tc>
          <w:tcPr>
            <w:tcW w:w="4511" w:type="dxa"/>
          </w:tcPr>
          <w:p>
            <w:pPr>
              <w:spacing w:line="440" w:lineRule="exact"/>
              <w:rPr>
                <w:rFonts w:ascii="宋体" w:hAnsi="宋体"/>
                <w:sz w:val="24"/>
              </w:rPr>
            </w:pPr>
            <w:r>
              <w:rPr>
                <w:rFonts w:hint="eastAsia" w:ascii="宋体" w:hAnsi="宋体"/>
                <w:szCs w:val="21"/>
              </w:rPr>
              <w:t>★</w:t>
            </w:r>
            <w:r>
              <w:rPr>
                <w:rFonts w:ascii="宋体" w:hAnsi="宋体"/>
                <w:sz w:val="24"/>
              </w:rPr>
              <w:t>平板承载质量</w:t>
            </w:r>
            <w:r>
              <w:rPr>
                <w:rFonts w:hint="eastAsia" w:ascii="宋体" w:hAnsi="宋体"/>
                <w:sz w:val="24"/>
              </w:rPr>
              <w:t>（</w:t>
            </w:r>
            <w:r>
              <w:rPr>
                <w:rFonts w:ascii="宋体" w:hAnsi="宋体"/>
                <w:sz w:val="24"/>
              </w:rPr>
              <w:t>kg</w:t>
            </w:r>
            <w:r>
              <w:rPr>
                <w:rFonts w:hint="eastAsia" w:ascii="宋体" w:hAnsi="宋体"/>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MERGEFIELD 平板承载质量kg</w:instrText>
            </w:r>
            <w:r>
              <w:rPr>
                <w:rFonts w:ascii="宋体" w:hAnsi="宋体"/>
                <w:color w:val="auto"/>
                <w:sz w:val="24"/>
              </w:rPr>
              <w:fldChar w:fldCharType="separate"/>
            </w:r>
            <w:r>
              <w:rPr>
                <w:rFonts w:hint="eastAsia" w:ascii="宋体" w:hAnsi="宋体"/>
                <w:color w:val="auto"/>
                <w:sz w:val="24"/>
              </w:rPr>
              <w:t>8000</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ascii="宋体" w:hAnsi="宋体"/>
                <w:sz w:val="24"/>
              </w:rPr>
              <w:t>平板外框规格长</w:t>
            </w:r>
            <w:r>
              <w:rPr>
                <w:rFonts w:hint="eastAsia" w:ascii="宋体" w:hAnsi="宋体"/>
                <w:sz w:val="24"/>
              </w:rPr>
              <w:t>×</w:t>
            </w:r>
            <w:r>
              <w:rPr>
                <w:rFonts w:ascii="宋体" w:hAnsi="宋体"/>
                <w:sz w:val="24"/>
              </w:rPr>
              <w:t>宽</w:t>
            </w:r>
            <w:r>
              <w:rPr>
                <w:rFonts w:hint="eastAsia" w:ascii="宋体" w:hAnsi="宋体"/>
                <w:sz w:val="24"/>
              </w:rPr>
              <w:t>（mm）</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"平板外框规格长x宽(mm)"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56</w:t>
            </w:r>
            <w:r>
              <w:rPr>
                <w:rFonts w:ascii="宋体" w:hAnsi="宋体"/>
                <w:color w:val="auto"/>
                <w:sz w:val="24"/>
              </w:rPr>
              <w:t>0×2</w:t>
            </w:r>
            <w:r>
              <w:rPr>
                <w:rFonts w:hint="eastAsia" w:ascii="宋体" w:hAnsi="宋体"/>
                <w:color w:val="auto"/>
                <w:sz w:val="24"/>
              </w:rPr>
              <w:t>55</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ascii="宋体" w:hAnsi="宋体"/>
                <w:sz w:val="24"/>
              </w:rPr>
              <w:t>平板内框规格长</w:t>
            </w:r>
            <w:r>
              <w:rPr>
                <w:rFonts w:hint="eastAsia" w:ascii="宋体" w:hAnsi="宋体"/>
                <w:sz w:val="24"/>
              </w:rPr>
              <w:t>×</w:t>
            </w:r>
            <w:r>
              <w:rPr>
                <w:rFonts w:ascii="宋体" w:hAnsi="宋体"/>
                <w:sz w:val="24"/>
              </w:rPr>
              <w:t>宽</w:t>
            </w:r>
            <w:r>
              <w:rPr>
                <w:rFonts w:hint="eastAsia" w:ascii="宋体" w:hAnsi="宋体"/>
                <w:sz w:val="24"/>
              </w:rPr>
              <w:t>（mm）</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"平板内框规格长x宽(mm)"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w:t>
            </w:r>
            <w:r>
              <w:rPr>
                <w:rFonts w:ascii="宋体" w:hAnsi="宋体"/>
                <w:color w:val="auto"/>
                <w:sz w:val="24"/>
              </w:rPr>
              <w:t>10×2</w:t>
            </w:r>
            <w:r>
              <w:rPr>
                <w:rFonts w:hint="eastAsia" w:ascii="宋体" w:hAnsi="宋体"/>
                <w:color w:val="auto"/>
                <w:sz w:val="24"/>
              </w:rPr>
              <w:t>47</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ascii="宋体" w:hAnsi="宋体"/>
                <w:sz w:val="24"/>
              </w:rPr>
              <w:t>板面离地高度</w:t>
            </w:r>
            <w:r>
              <w:rPr>
                <w:rFonts w:hint="eastAsia" w:ascii="宋体" w:hAnsi="宋体"/>
                <w:sz w:val="24"/>
              </w:rPr>
              <w:t>（</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MERGEFIELD "板面离地高度(mm)" </w:instrText>
            </w:r>
            <w:r>
              <w:rPr>
                <w:rFonts w:ascii="宋体" w:hAnsi="宋体"/>
                <w:color w:val="000000" w:themeColor="text1"/>
                <w:sz w:val="24"/>
              </w:rPr>
              <w:fldChar w:fldCharType="separate"/>
            </w:r>
            <w:r>
              <w:rPr>
                <w:rFonts w:ascii="宋体" w:hAnsi="宋体"/>
                <w:color w:val="000000" w:themeColor="text1"/>
                <w:sz w:val="24"/>
              </w:rPr>
              <w:t>1</w:t>
            </w:r>
            <w:r>
              <w:rPr>
                <w:rFonts w:hint="eastAsia" w:ascii="宋体" w:hAnsi="宋体"/>
                <w:color w:val="000000" w:themeColor="text1"/>
                <w:sz w:val="24"/>
              </w:rPr>
              <w:t>291</w:t>
            </w:r>
            <w:r>
              <w:rPr>
                <w:rFonts w:ascii="宋体" w:hAnsi="宋体"/>
                <w:color w:val="000000" w:themeColor="text1"/>
                <w:sz w:val="24"/>
              </w:rPr>
              <w:t>-1</w:t>
            </w:r>
            <w:r>
              <w:rPr>
                <w:rFonts w:ascii="宋体" w:hAnsi="宋体"/>
                <w:color w:val="000000" w:themeColor="text1"/>
                <w:sz w:val="24"/>
              </w:rPr>
              <w:fldChar w:fldCharType="end"/>
            </w:r>
            <w:r>
              <w:rPr>
                <w:rFonts w:hint="eastAsia" w:ascii="宋体" w:hAnsi="宋体"/>
                <w:color w:val="000000" w:themeColor="text1"/>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ascii="宋体" w:hAnsi="宋体"/>
                <w:sz w:val="24"/>
              </w:rPr>
              <w:t>平板与地面的最小角度</w:t>
            </w:r>
            <w:r>
              <w:rPr>
                <w:rFonts w:hint="eastAsia" w:ascii="宋体" w:hAnsi="宋体"/>
                <w:sz w:val="24"/>
              </w:rPr>
              <w:t>（</w:t>
            </w:r>
            <w:r>
              <w:rPr>
                <w:rFonts w:ascii="宋体" w:hAnsi="宋体"/>
                <w:sz w:val="24"/>
              </w:rPr>
              <w:t>°</w:t>
            </w:r>
            <w:r>
              <w:rPr>
                <w:rFonts w:hint="eastAsia" w:ascii="宋体" w:hAnsi="宋体"/>
                <w:sz w:val="24"/>
              </w:rPr>
              <w:t>）</w:t>
            </w:r>
          </w:p>
        </w:tc>
        <w:tc>
          <w:tcPr>
            <w:tcW w:w="3785" w:type="dxa"/>
          </w:tcPr>
          <w:p>
            <w:pPr>
              <w:spacing w:line="440" w:lineRule="exact"/>
              <w:jc w:val="center"/>
              <w:rPr>
                <w:rFonts w:ascii="宋体" w:hAnsi="宋体"/>
                <w:color w:val="000000" w:themeColor="text1"/>
                <w:sz w:val="24"/>
              </w:rPr>
            </w:pPr>
            <w:r>
              <w:rPr>
                <w:rFonts w:hint="eastAsia" w:ascii="宋体" w:hAnsi="宋体"/>
                <w:color w:val="000000" w:themeColor="text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尾板型式</w:t>
            </w:r>
          </w:p>
        </w:tc>
        <w:tc>
          <w:tcPr>
            <w:tcW w:w="3785" w:type="dxa"/>
          </w:tcPr>
          <w:p>
            <w:pPr>
              <w:spacing w:line="440" w:lineRule="exact"/>
              <w:jc w:val="center"/>
              <w:rPr>
                <w:rFonts w:ascii="宋体" w:hAnsi="宋体"/>
                <w:color w:val="000000" w:themeColor="text1"/>
                <w:sz w:val="24"/>
              </w:rPr>
            </w:pPr>
            <w:r>
              <w:rPr>
                <w:rFonts w:hint="eastAsia" w:ascii="宋体" w:hAnsi="宋体"/>
                <w:color w:val="000000" w:themeColor="text1"/>
                <w:sz w:val="24"/>
              </w:rPr>
              <w:t>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vAlign w:val="center"/>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尾板长度（mm）</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auto"/>
                <w:sz w:val="24"/>
              </w:rPr>
            </w:pPr>
            <w:r>
              <w:rPr>
                <w:rFonts w:ascii="宋体" w:hAnsi="宋体"/>
                <w:color w:val="auto"/>
                <w:sz w:val="24"/>
              </w:rPr>
              <w:t>175</w:t>
            </w:r>
            <w:r>
              <w:rPr>
                <w:rFonts w:hint="eastAsia" w:ascii="宋体" w:hAnsi="宋体"/>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42" w:type="dxa"/>
            <w:vMerge w:val="restart"/>
            <w:vAlign w:val="center"/>
          </w:tcPr>
          <w:p>
            <w:pPr>
              <w:spacing w:line="440" w:lineRule="exact"/>
              <w:jc w:val="center"/>
              <w:rPr>
                <w:rFonts w:ascii="宋体" w:hAnsi="宋体"/>
                <w:sz w:val="24"/>
              </w:rPr>
            </w:pPr>
            <w:r>
              <w:rPr>
                <w:rFonts w:hint="eastAsia" w:ascii="宋体" w:hAnsi="宋体"/>
                <w:sz w:val="24"/>
              </w:rPr>
              <w:t>绞</w:t>
            </w:r>
          </w:p>
          <w:p>
            <w:pPr>
              <w:spacing w:line="440" w:lineRule="exact"/>
              <w:jc w:val="center"/>
              <w:rPr>
                <w:rFonts w:ascii="宋体" w:hAnsi="宋体"/>
                <w:sz w:val="24"/>
              </w:rPr>
            </w:pPr>
            <w:r>
              <w:rPr>
                <w:rFonts w:hint="eastAsia" w:ascii="宋体" w:hAnsi="宋体"/>
                <w:sz w:val="24"/>
              </w:rPr>
              <w:t>盘</w:t>
            </w: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数量（只）</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hint="eastAsia" w:ascii="宋体" w:hAnsi="宋体"/>
                <w:color w:val="auto"/>
                <w:sz w:val="24"/>
              </w:rPr>
              <w:instrText xml:space="preserve">MERGEFIELD 绞盘数量（只）</w:instrText>
            </w:r>
            <w:r>
              <w:rPr>
                <w:rFonts w:ascii="宋体" w:hAnsi="宋体"/>
                <w:color w:val="auto"/>
                <w:sz w:val="24"/>
              </w:rPr>
              <w:fldChar w:fldCharType="separate"/>
            </w:r>
            <w:r>
              <w:rPr>
                <w:rFonts w:hint="eastAsia" w:ascii="宋体" w:hAnsi="宋体"/>
                <w:color w:val="auto"/>
                <w:sz w:val="24"/>
              </w:rPr>
              <w:t>1</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Cs w:val="21"/>
              </w:rPr>
              <w:t>★</w:t>
            </w:r>
            <w:r>
              <w:rPr>
                <w:rFonts w:hint="eastAsia" w:ascii="宋体" w:hAnsi="宋体"/>
                <w:sz w:val="24"/>
              </w:rPr>
              <w:t>每只额定牵引力（</w:t>
            </w:r>
            <w:r>
              <w:rPr>
                <w:rFonts w:ascii="宋体" w:hAnsi="宋体"/>
                <w:sz w:val="24"/>
              </w:rPr>
              <w:t>k</w:t>
            </w:r>
            <w:r>
              <w:rPr>
                <w:rFonts w:hint="eastAsia" w:ascii="宋体" w:hAnsi="宋体"/>
                <w:sz w:val="24"/>
              </w:rPr>
              <w:t>N）</w:t>
            </w:r>
          </w:p>
        </w:tc>
        <w:tc>
          <w:tcPr>
            <w:tcW w:w="3785" w:type="dxa"/>
          </w:tcPr>
          <w:p>
            <w:pPr>
              <w:spacing w:line="440" w:lineRule="exact"/>
              <w:jc w:val="center"/>
              <w:rPr>
                <w:rFonts w:ascii="宋体" w:hAnsi="宋体"/>
                <w:color w:val="auto"/>
                <w:sz w:val="24"/>
              </w:rPr>
            </w:pPr>
            <w:r>
              <w:rPr>
                <w:rFonts w:hint="eastAsia" w:ascii="宋体" w:hAnsi="宋体"/>
                <w:color w:val="auto"/>
                <w:sz w:val="24"/>
              </w:rPr>
              <w:fldChar w:fldCharType="begin"/>
            </w:r>
            <w:r>
              <w:rPr>
                <w:rFonts w:hint="eastAsia" w:ascii="宋体" w:hAnsi="宋体"/>
                <w:color w:val="auto"/>
                <w:sz w:val="24"/>
              </w:rPr>
              <w:instrText xml:space="preserve"> MERGEFIELD "绞盘每只额定牵引力 （kN）" </w:instrText>
            </w:r>
            <w:r>
              <w:rPr>
                <w:rFonts w:hint="eastAsia" w:ascii="宋体" w:hAnsi="宋体"/>
                <w:color w:val="auto"/>
                <w:sz w:val="24"/>
              </w:rPr>
              <w:fldChar w:fldCharType="separate"/>
            </w:r>
            <w:r>
              <w:rPr>
                <w:rFonts w:hint="eastAsia" w:ascii="宋体" w:hAnsi="宋体"/>
                <w:color w:val="auto"/>
                <w:sz w:val="24"/>
              </w:rPr>
              <w:t>50</w:t>
            </w:r>
            <w:r>
              <w:rPr>
                <w:rFonts w:hint="eastAsia"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钢丝绳规格</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MERGEFIELD 钢丝绳规格 </w:instrText>
            </w:r>
            <w:r>
              <w:rPr>
                <w:rFonts w:ascii="宋体" w:hAnsi="宋体"/>
                <w:color w:val="000000" w:themeColor="text1"/>
                <w:sz w:val="24"/>
              </w:rPr>
              <w:fldChar w:fldCharType="separate"/>
            </w:r>
            <w:r>
              <w:rPr>
                <w:rFonts w:ascii="宋体" w:hAnsi="宋体"/>
                <w:color w:val="000000" w:themeColor="text1"/>
                <w:sz w:val="24"/>
              </w:rPr>
              <w:t>12-35W×7-1770NZS</w:t>
            </w:r>
            <w:r>
              <w:rPr>
                <w:rFonts w:ascii="宋体" w:hAnsi="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钢丝绳直径（</w:t>
            </w:r>
            <w:r>
              <w:rPr>
                <w:rFonts w:ascii="宋体" w:hAnsi="宋体"/>
                <w:sz w:val="24"/>
              </w:rPr>
              <w:t>mm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hint="eastAsia" w:ascii="宋体" w:hAnsi="宋体"/>
                <w:color w:val="000000" w:themeColor="text1"/>
                <w:sz w:val="24"/>
              </w:rPr>
              <w:instrText xml:space="preserve">MERGEFIELD 钢丝绳直径（mm）</w:instrText>
            </w:r>
            <w:r>
              <w:rPr>
                <w:rFonts w:ascii="宋体" w:hAnsi="宋体"/>
                <w:color w:val="000000" w:themeColor="text1"/>
                <w:sz w:val="24"/>
              </w:rPr>
              <w:fldChar w:fldCharType="separate"/>
            </w:r>
            <w:r>
              <w:rPr>
                <w:rFonts w:hint="eastAsia" w:ascii="宋体" w:hAnsi="宋体"/>
                <w:color w:val="000000" w:themeColor="text1"/>
                <w:sz w:val="24"/>
              </w:rPr>
              <w:t>φ12</w:t>
            </w:r>
            <w:r>
              <w:rPr>
                <w:rFonts w:ascii="宋体" w:hAnsi="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vMerge w:val="continue"/>
          </w:tcPr>
          <w:p>
            <w:pPr>
              <w:spacing w:line="440" w:lineRule="exact"/>
              <w:jc w:val="center"/>
              <w:rPr>
                <w:rFonts w:ascii="宋体" w:hAnsi="宋体"/>
                <w:sz w:val="24"/>
              </w:rPr>
            </w:pPr>
          </w:p>
        </w:tc>
        <w:tc>
          <w:tcPr>
            <w:tcW w:w="4511" w:type="dxa"/>
          </w:tcPr>
          <w:p>
            <w:pPr>
              <w:spacing w:line="440" w:lineRule="exact"/>
              <w:rPr>
                <w:rFonts w:ascii="宋体" w:hAnsi="宋体"/>
                <w:sz w:val="24"/>
              </w:rPr>
            </w:pPr>
            <w:r>
              <w:rPr>
                <w:rFonts w:hint="eastAsia" w:ascii="宋体" w:hAnsi="宋体"/>
                <w:sz w:val="24"/>
              </w:rPr>
              <w:t>钢丝绳长度（</w:t>
            </w:r>
            <w:r>
              <w:rPr>
                <w:rFonts w:ascii="宋体" w:hAnsi="宋体"/>
                <w:sz w:val="24"/>
              </w:rPr>
              <w:t>m</w:t>
            </w:r>
            <w:r>
              <w:rPr>
                <w:rFonts w:hint="eastAsia" w:ascii="宋体" w:hAnsi="宋体"/>
                <w:sz w:val="24"/>
              </w:rPr>
              <w:t>）</w:t>
            </w:r>
            <w:r>
              <w:rPr>
                <w:rFonts w:hint="eastAsia" w:cs="宋体" w:asciiTheme="majorEastAsia" w:hAnsiTheme="majorEastAsia" w:eastAsiaTheme="majorEastAsia"/>
                <w:sz w:val="18"/>
                <w:szCs w:val="18"/>
              </w:rPr>
              <w:t>≥</w:t>
            </w:r>
          </w:p>
        </w:tc>
        <w:tc>
          <w:tcPr>
            <w:tcW w:w="3785" w:type="dxa"/>
          </w:tcPr>
          <w:p>
            <w:pPr>
              <w:spacing w:line="440" w:lineRule="exact"/>
              <w:jc w:val="center"/>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MERGEFIELD 钢丝绳长度（m） </w:instrText>
            </w:r>
            <w:r>
              <w:rPr>
                <w:rFonts w:ascii="宋体" w:hAnsi="宋体"/>
                <w:color w:val="000000" w:themeColor="text1"/>
                <w:sz w:val="24"/>
              </w:rPr>
              <w:fldChar w:fldCharType="separate"/>
            </w:r>
            <w:r>
              <w:rPr>
                <w:rFonts w:ascii="宋体" w:hAnsi="宋体"/>
                <w:color w:val="000000" w:themeColor="text1"/>
                <w:sz w:val="24"/>
              </w:rPr>
              <w:t>25</w:t>
            </w:r>
            <w:r>
              <w:rPr>
                <w:rFonts w:ascii="宋体" w:hAnsi="宋体"/>
                <w:color w:val="000000" w:themeColor="text1"/>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42" w:type="dxa"/>
          </w:tcPr>
          <w:p>
            <w:pPr>
              <w:spacing w:line="440" w:lineRule="exact"/>
              <w:jc w:val="center"/>
              <w:rPr>
                <w:rFonts w:ascii="宋体" w:hAnsi="宋体"/>
                <w:sz w:val="24"/>
              </w:rPr>
            </w:pPr>
            <w:r>
              <w:rPr>
                <w:rFonts w:hint="eastAsia" w:ascii="宋体" w:hAnsi="宋体"/>
                <w:sz w:val="24"/>
              </w:rPr>
              <w:t>配置</w:t>
            </w:r>
          </w:p>
        </w:tc>
        <w:tc>
          <w:tcPr>
            <w:tcW w:w="8296" w:type="dxa"/>
            <w:gridSpan w:val="2"/>
          </w:tcPr>
          <w:p>
            <w:pPr>
              <w:spacing w:line="460" w:lineRule="exact"/>
              <w:jc w:val="left"/>
              <w:rPr>
                <w:sz w:val="24"/>
              </w:rPr>
            </w:pPr>
            <w:r>
              <w:rPr>
                <w:sz w:val="24"/>
              </w:rPr>
              <w:t>1</w:t>
            </w:r>
            <w:r>
              <w:rPr>
                <w:rFonts w:hint="eastAsia"/>
                <w:sz w:val="24"/>
              </w:rPr>
              <w:t>、托叉座一对</w:t>
            </w:r>
          </w:p>
          <w:p>
            <w:pPr>
              <w:spacing w:line="460" w:lineRule="exact"/>
              <w:jc w:val="left"/>
              <w:rPr>
                <w:sz w:val="24"/>
              </w:rPr>
            </w:pPr>
            <w:r>
              <w:rPr>
                <w:sz w:val="24"/>
              </w:rPr>
              <w:t>2</w:t>
            </w:r>
            <w:r>
              <w:rPr>
                <w:rFonts w:hint="eastAsia"/>
                <w:sz w:val="24"/>
              </w:rPr>
              <w:t>、托叉（大小）共两对，乙字型拖叉一对</w:t>
            </w:r>
          </w:p>
          <w:p>
            <w:pPr>
              <w:spacing w:line="460" w:lineRule="exact"/>
              <w:jc w:val="left"/>
              <w:rPr>
                <w:sz w:val="24"/>
              </w:rPr>
            </w:pPr>
            <w:r>
              <w:rPr>
                <w:sz w:val="24"/>
              </w:rPr>
              <w:t>3</w:t>
            </w:r>
            <w:r>
              <w:rPr>
                <w:rFonts w:hint="eastAsia"/>
                <w:sz w:val="24"/>
              </w:rPr>
              <w:t>、托车抱胎机构一对</w:t>
            </w:r>
          </w:p>
          <w:p>
            <w:pPr>
              <w:spacing w:line="460" w:lineRule="exact"/>
              <w:jc w:val="left"/>
              <w:rPr>
                <w:sz w:val="24"/>
              </w:rPr>
            </w:pPr>
            <w:r>
              <w:rPr>
                <w:sz w:val="24"/>
              </w:rPr>
              <w:t>4</w:t>
            </w:r>
            <w:r>
              <w:rPr>
                <w:rFonts w:hint="eastAsia"/>
                <w:sz w:val="24"/>
              </w:rPr>
              <w:t>、链带总成共七套（包含链钩）</w:t>
            </w:r>
          </w:p>
          <w:p>
            <w:pPr>
              <w:spacing w:line="460" w:lineRule="exact"/>
              <w:jc w:val="left"/>
              <w:rPr>
                <w:sz w:val="24"/>
              </w:rPr>
            </w:pPr>
            <w:r>
              <w:rPr>
                <w:sz w:val="24"/>
              </w:rPr>
              <w:t>5</w:t>
            </w:r>
            <w:r>
              <w:rPr>
                <w:rFonts w:hint="eastAsia"/>
                <w:sz w:val="24"/>
              </w:rPr>
              <w:t>、</w:t>
            </w:r>
            <w:r>
              <w:rPr>
                <w:sz w:val="24"/>
              </w:rPr>
              <w:t>LED</w:t>
            </w:r>
            <w:r>
              <w:rPr>
                <w:rFonts w:hint="eastAsia"/>
                <w:sz w:val="24"/>
              </w:rPr>
              <w:t>红黄蓝警灯警报器</w:t>
            </w:r>
          </w:p>
          <w:p>
            <w:pPr>
              <w:spacing w:line="460" w:lineRule="exact"/>
              <w:jc w:val="left"/>
              <w:rPr>
                <w:sz w:val="24"/>
              </w:rPr>
            </w:pPr>
            <w:r>
              <w:rPr>
                <w:sz w:val="24"/>
              </w:rPr>
              <w:t>6</w:t>
            </w:r>
            <w:r>
              <w:rPr>
                <w:rFonts w:hint="eastAsia"/>
                <w:sz w:val="24"/>
              </w:rPr>
              <w:t>、倒车后视屏</w:t>
            </w:r>
          </w:p>
          <w:p>
            <w:pPr>
              <w:spacing w:line="460" w:lineRule="exact"/>
              <w:jc w:val="left"/>
              <w:rPr>
                <w:sz w:val="24"/>
              </w:rPr>
            </w:pPr>
            <w:r>
              <w:rPr>
                <w:sz w:val="24"/>
              </w:rPr>
              <w:t>7</w:t>
            </w:r>
            <w:r>
              <w:rPr>
                <w:rFonts w:hint="eastAsia"/>
                <w:sz w:val="24"/>
              </w:rPr>
              <w:t>、不锈钢洗涤水箱</w:t>
            </w:r>
          </w:p>
          <w:p>
            <w:pPr>
              <w:spacing w:line="460" w:lineRule="exact"/>
              <w:jc w:val="left"/>
              <w:rPr>
                <w:sz w:val="24"/>
              </w:rPr>
            </w:pPr>
            <w:r>
              <w:rPr>
                <w:sz w:val="24"/>
              </w:rPr>
              <w:t>8</w:t>
            </w:r>
            <w:r>
              <w:rPr>
                <w:rFonts w:hint="eastAsia"/>
                <w:sz w:val="24"/>
              </w:rPr>
              <w:t>、限位器</w:t>
            </w:r>
          </w:p>
          <w:p>
            <w:pPr>
              <w:spacing w:line="460" w:lineRule="exact"/>
              <w:jc w:val="left"/>
              <w:rPr>
                <w:sz w:val="24"/>
              </w:rPr>
            </w:pPr>
            <w:r>
              <w:rPr>
                <w:sz w:val="24"/>
              </w:rPr>
              <w:t>9</w:t>
            </w:r>
            <w:r>
              <w:rPr>
                <w:rFonts w:hint="eastAsia"/>
                <w:sz w:val="24"/>
              </w:rPr>
              <w:t>、三层滑轮</w:t>
            </w:r>
          </w:p>
          <w:p>
            <w:pPr>
              <w:spacing w:line="460" w:lineRule="exact"/>
              <w:jc w:val="left"/>
              <w:rPr>
                <w:color w:val="000000" w:themeColor="text1"/>
                <w:sz w:val="24"/>
              </w:rPr>
            </w:pPr>
            <w:r>
              <w:rPr>
                <w:color w:val="000000" w:themeColor="text1"/>
                <w:sz w:val="24"/>
              </w:rPr>
              <w:t>10</w:t>
            </w:r>
            <w:r>
              <w:rPr>
                <w:rFonts w:hint="eastAsia"/>
                <w:color w:val="000000" w:themeColor="text1"/>
                <w:sz w:val="24"/>
              </w:rPr>
              <w:t>、辅助轮五套</w:t>
            </w:r>
          </w:p>
          <w:p>
            <w:pPr>
              <w:spacing w:line="460" w:lineRule="exact"/>
              <w:jc w:val="left"/>
              <w:rPr>
                <w:sz w:val="24"/>
              </w:rPr>
            </w:pPr>
            <w:r>
              <w:rPr>
                <w:sz w:val="24"/>
              </w:rPr>
              <w:t>11</w:t>
            </w:r>
            <w:r>
              <w:rPr>
                <w:rFonts w:hint="eastAsia"/>
                <w:sz w:val="24"/>
              </w:rPr>
              <w:t>、液压系统无线遥控器</w:t>
            </w:r>
          </w:p>
          <w:p>
            <w:pPr>
              <w:spacing w:line="460" w:lineRule="exact"/>
              <w:jc w:val="left"/>
              <w:rPr>
                <w:sz w:val="24"/>
              </w:rPr>
            </w:pPr>
            <w:r>
              <w:rPr>
                <w:sz w:val="24"/>
              </w:rPr>
              <w:t>12</w:t>
            </w:r>
            <w:r>
              <w:rPr>
                <w:rFonts w:hint="eastAsia"/>
                <w:sz w:val="24"/>
              </w:rPr>
              <w:t>、平板板面板材：加强板</w:t>
            </w:r>
          </w:p>
          <w:p>
            <w:pPr>
              <w:spacing w:line="460" w:lineRule="exact"/>
              <w:jc w:val="left"/>
              <w:rPr>
                <w:sz w:val="24"/>
              </w:rPr>
            </w:pPr>
            <w:r>
              <w:rPr>
                <w:sz w:val="24"/>
              </w:rPr>
              <w:t>13</w:t>
            </w:r>
            <w:r>
              <w:rPr>
                <w:rFonts w:hint="eastAsia"/>
                <w:sz w:val="24"/>
              </w:rPr>
              <w:t>、平板尾部竖立折叠（液压）</w:t>
            </w:r>
          </w:p>
        </w:tc>
      </w:tr>
    </w:tbl>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27869"/>
      <w:bookmarkStart w:id="80" w:name="_Toc3125"/>
      <w:r>
        <w:rPr>
          <w:rFonts w:ascii="宋体" w:hAnsi="宋体" w:cs="方正小标宋简体"/>
          <w:bCs/>
          <w:szCs w:val="21"/>
        </w:rPr>
        <w:t>产品应为经过国家行业主管部门认证的定型产品，列入《中华人民共和国发改委车辆生产企业及产品公告》，产品具备国家3C认证和环保认证</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1.10车辆在运行过程中不得有异常响声，制动装置(包括手制动)和转向应灵活、有效；其动力性能和经济性能应符合设计要求；尾气排放达到国Ⅴ及以上标准，噪声符合现行中国标准。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1.14车辆交付为整车，含出厂标准配置和厂家选装配置（若买方要求且出厂不含）及特殊要求配置（若买方要求且厂家没有时可另购加装），所交付车辆制造日期必须为2021年10月1日以后。</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2.2车底盘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2.2.1要求选用已上目录的国产定型二类底盘，驾驶室内应有空调、收放机等设备；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2.2.2在改装中，对底盘的主要结构不得进行伤害性改动，整车的动力性、安全性、经济性、操纵性能及环保性能等主要技术指标在同比条件下不得低于原底盘的相应指标。</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2.2.3报价文件中对 2.（1）中所列各项指标和要求须作逐项明确响应。</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3.1车辆规格性能均应符合或优于本标书的要求且为“零公里”新车，交货时每辆车须带≥50升燃油。</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3.2厂家提供使用说明书及维修手册1套。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3.3厂家出示检验报告及合格证明。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3.4外观上灯光和仪表应灵敏、完整、清晰、准确，整机涂漆光泽均匀、无油漆脱落锈蚀、碰伤，附具齐全完整。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3.5各部件性能可靠，无渗漏，无异响，转动灵活，制动良好。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3.6验收期限：交货后一周内。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3.7提供到货天数：合同签订后15个日历日以内。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3.8提供交货前办理相关天数（收到中标通知起，货到并办完所有入户相关费用后最快天数）：合同签订后15个日历日以内。</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123"/>
      <w:bookmarkStart w:id="84" w:name="_Toc29210"/>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10"/>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344"/>
        <w:gridCol w:w="1061"/>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344" w:type="dxa"/>
            <w:vAlign w:val="center"/>
          </w:tcPr>
          <w:p>
            <w:pPr>
              <w:jc w:val="center"/>
              <w:rPr>
                <w:sz w:val="30"/>
                <w:szCs w:val="30"/>
              </w:rPr>
            </w:pPr>
            <w:r>
              <w:rPr>
                <w:rFonts w:hint="eastAsia"/>
                <w:sz w:val="30"/>
                <w:szCs w:val="30"/>
              </w:rPr>
              <w:t>名称</w:t>
            </w:r>
          </w:p>
        </w:tc>
        <w:tc>
          <w:tcPr>
            <w:tcW w:w="1061"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344" w:type="dxa"/>
            <w:vAlign w:val="center"/>
          </w:tcPr>
          <w:p>
            <w:pPr>
              <w:widowControl/>
              <w:jc w:val="center"/>
              <w:textAlignment w:val="center"/>
              <w:rPr>
                <w:rFonts w:ascii="宋体" w:hAnsi="宋体" w:cs="宋体"/>
                <w:color w:val="FF0000"/>
                <w:sz w:val="24"/>
              </w:rPr>
            </w:pPr>
            <w:r>
              <w:rPr>
                <w:rFonts w:hint="eastAsia"/>
                <w:color w:val="auto"/>
                <w:sz w:val="24"/>
              </w:rPr>
              <w:t>平板型清障车</w:t>
            </w: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344" w:type="dxa"/>
            <w:vAlign w:val="center"/>
          </w:tcPr>
          <w:p>
            <w:pPr>
              <w:widowControl/>
              <w:jc w:val="center"/>
              <w:textAlignment w:val="center"/>
              <w:rPr>
                <w:rFonts w:ascii="宋体" w:hAnsi="宋体" w:eastAsia="宋体" w:cs="宋体"/>
                <w:sz w:val="24"/>
              </w:rPr>
            </w:pPr>
          </w:p>
        </w:tc>
        <w:tc>
          <w:tcPr>
            <w:tcW w:w="1061"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年月日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7600_WPSOffice_Level2"/>
      <w:bookmarkStart w:id="158" w:name="_Toc2807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5403_WPSOffice_Level1"/>
      <w:bookmarkStart w:id="165" w:name="_Toc12019_WPSOffice_Level1"/>
      <w:bookmarkStart w:id="166" w:name="_Toc30712_WPSOffice_Level1"/>
      <w:bookmarkStart w:id="167" w:name="_Toc9267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p>
    <w:p>
      <w:pPr>
        <w:pStyle w:val="2"/>
        <w:widowControl w:val="0"/>
        <w:numPr>
          <w:numId w:val="0"/>
        </w:numPr>
        <w:spacing w:after="120"/>
        <w:jc w:val="center"/>
        <w:rPr>
          <w:rFonts w:hint="eastAsia" w:ascii="黑体" w:hAnsi="黑体" w:eastAsia="黑体" w:cs="黑体"/>
          <w:sz w:val="28"/>
          <w:szCs w:val="28"/>
        </w:rPr>
      </w:pPr>
      <w:bookmarkStart w:id="169" w:name="_GoBack"/>
      <w:bookmarkEnd w:id="169"/>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F423F9"/>
    <w:rsid w:val="02034851"/>
    <w:rsid w:val="024946D1"/>
    <w:rsid w:val="0250686A"/>
    <w:rsid w:val="02595534"/>
    <w:rsid w:val="02763446"/>
    <w:rsid w:val="028275B1"/>
    <w:rsid w:val="02836B8D"/>
    <w:rsid w:val="02A66735"/>
    <w:rsid w:val="02B7452C"/>
    <w:rsid w:val="02C10E78"/>
    <w:rsid w:val="02D65DED"/>
    <w:rsid w:val="02E96424"/>
    <w:rsid w:val="02F44385"/>
    <w:rsid w:val="03380757"/>
    <w:rsid w:val="033E575A"/>
    <w:rsid w:val="036B6B95"/>
    <w:rsid w:val="038226D6"/>
    <w:rsid w:val="03960557"/>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7658C"/>
    <w:rsid w:val="06420BE5"/>
    <w:rsid w:val="064F44F5"/>
    <w:rsid w:val="06750697"/>
    <w:rsid w:val="069B3C00"/>
    <w:rsid w:val="06CA1760"/>
    <w:rsid w:val="06ED25DE"/>
    <w:rsid w:val="06F57E5E"/>
    <w:rsid w:val="07085527"/>
    <w:rsid w:val="073A3426"/>
    <w:rsid w:val="0757367C"/>
    <w:rsid w:val="07595CAC"/>
    <w:rsid w:val="076F25A8"/>
    <w:rsid w:val="077508BA"/>
    <w:rsid w:val="079543F1"/>
    <w:rsid w:val="07A10C59"/>
    <w:rsid w:val="07A45C35"/>
    <w:rsid w:val="07C30E6D"/>
    <w:rsid w:val="07C61AEA"/>
    <w:rsid w:val="07E23ADF"/>
    <w:rsid w:val="07F53477"/>
    <w:rsid w:val="08315767"/>
    <w:rsid w:val="08347001"/>
    <w:rsid w:val="08376EC4"/>
    <w:rsid w:val="083C2C8C"/>
    <w:rsid w:val="083C51DC"/>
    <w:rsid w:val="083F45B1"/>
    <w:rsid w:val="08441E55"/>
    <w:rsid w:val="086D4ACA"/>
    <w:rsid w:val="087E3A40"/>
    <w:rsid w:val="08A5652C"/>
    <w:rsid w:val="08AC6280"/>
    <w:rsid w:val="08D840D9"/>
    <w:rsid w:val="090B1608"/>
    <w:rsid w:val="09120680"/>
    <w:rsid w:val="09193D26"/>
    <w:rsid w:val="092C10F3"/>
    <w:rsid w:val="092D5CEC"/>
    <w:rsid w:val="09306E7A"/>
    <w:rsid w:val="094F782B"/>
    <w:rsid w:val="095073FA"/>
    <w:rsid w:val="0973495D"/>
    <w:rsid w:val="099B5D1F"/>
    <w:rsid w:val="099C614A"/>
    <w:rsid w:val="09A07033"/>
    <w:rsid w:val="09A35E85"/>
    <w:rsid w:val="09A7522A"/>
    <w:rsid w:val="09B36429"/>
    <w:rsid w:val="09B83A16"/>
    <w:rsid w:val="0A132DA4"/>
    <w:rsid w:val="0A3641B0"/>
    <w:rsid w:val="0A3769B7"/>
    <w:rsid w:val="0A4977DA"/>
    <w:rsid w:val="0A605CF3"/>
    <w:rsid w:val="0A6564B9"/>
    <w:rsid w:val="0AA52BD3"/>
    <w:rsid w:val="0AAC4813"/>
    <w:rsid w:val="0AB417AF"/>
    <w:rsid w:val="0ACB14D5"/>
    <w:rsid w:val="0B0109E6"/>
    <w:rsid w:val="0B0364E1"/>
    <w:rsid w:val="0B575C8E"/>
    <w:rsid w:val="0B5C5BE2"/>
    <w:rsid w:val="0B607438"/>
    <w:rsid w:val="0B8C0B40"/>
    <w:rsid w:val="0B940000"/>
    <w:rsid w:val="0B9E7AAB"/>
    <w:rsid w:val="0BB73761"/>
    <w:rsid w:val="0BBD53FC"/>
    <w:rsid w:val="0BD95321"/>
    <w:rsid w:val="0BE53DBD"/>
    <w:rsid w:val="0BED7182"/>
    <w:rsid w:val="0BEE3A7F"/>
    <w:rsid w:val="0C1F3F50"/>
    <w:rsid w:val="0C210E8A"/>
    <w:rsid w:val="0C2D25CC"/>
    <w:rsid w:val="0C3A6DCE"/>
    <w:rsid w:val="0C444484"/>
    <w:rsid w:val="0C471C14"/>
    <w:rsid w:val="0C4757BF"/>
    <w:rsid w:val="0C5344EB"/>
    <w:rsid w:val="0C5B011A"/>
    <w:rsid w:val="0C854A24"/>
    <w:rsid w:val="0C871385"/>
    <w:rsid w:val="0C932008"/>
    <w:rsid w:val="0C954935"/>
    <w:rsid w:val="0C9E6EE9"/>
    <w:rsid w:val="0CEE2538"/>
    <w:rsid w:val="0CFF356B"/>
    <w:rsid w:val="0D1C692C"/>
    <w:rsid w:val="0D1F7FB3"/>
    <w:rsid w:val="0D235F12"/>
    <w:rsid w:val="0D371527"/>
    <w:rsid w:val="0D421699"/>
    <w:rsid w:val="0D491784"/>
    <w:rsid w:val="0D903958"/>
    <w:rsid w:val="0DBC5FD9"/>
    <w:rsid w:val="0DBF7526"/>
    <w:rsid w:val="0DD8176C"/>
    <w:rsid w:val="0DE17D3B"/>
    <w:rsid w:val="0DE55C13"/>
    <w:rsid w:val="0DEA2CBC"/>
    <w:rsid w:val="0DFF4F4B"/>
    <w:rsid w:val="0E353D12"/>
    <w:rsid w:val="0E3766AA"/>
    <w:rsid w:val="0E3C6E1E"/>
    <w:rsid w:val="0E421045"/>
    <w:rsid w:val="0E5617C7"/>
    <w:rsid w:val="0E5B2709"/>
    <w:rsid w:val="0E617FB2"/>
    <w:rsid w:val="0EC101C2"/>
    <w:rsid w:val="0EC70BFA"/>
    <w:rsid w:val="0ED43311"/>
    <w:rsid w:val="0EF511C8"/>
    <w:rsid w:val="0EF55437"/>
    <w:rsid w:val="0F084473"/>
    <w:rsid w:val="0F3638ED"/>
    <w:rsid w:val="0F56600C"/>
    <w:rsid w:val="0F723405"/>
    <w:rsid w:val="0FCC7A5D"/>
    <w:rsid w:val="0FDB62B2"/>
    <w:rsid w:val="0FE0087A"/>
    <w:rsid w:val="100A243A"/>
    <w:rsid w:val="1015385D"/>
    <w:rsid w:val="10406357"/>
    <w:rsid w:val="1055158F"/>
    <w:rsid w:val="107348E1"/>
    <w:rsid w:val="107B36EC"/>
    <w:rsid w:val="107D3033"/>
    <w:rsid w:val="10C02202"/>
    <w:rsid w:val="10C56148"/>
    <w:rsid w:val="10EE14A7"/>
    <w:rsid w:val="10F71714"/>
    <w:rsid w:val="11076A24"/>
    <w:rsid w:val="110B15DD"/>
    <w:rsid w:val="112B09BB"/>
    <w:rsid w:val="115C0B2F"/>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D7C46"/>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C36A4E"/>
    <w:rsid w:val="15E451EB"/>
    <w:rsid w:val="15E47854"/>
    <w:rsid w:val="15EB36FD"/>
    <w:rsid w:val="15F55102"/>
    <w:rsid w:val="15F906E0"/>
    <w:rsid w:val="16057AB2"/>
    <w:rsid w:val="162149AE"/>
    <w:rsid w:val="162C6C5D"/>
    <w:rsid w:val="16542610"/>
    <w:rsid w:val="16576E90"/>
    <w:rsid w:val="16664275"/>
    <w:rsid w:val="16B0772A"/>
    <w:rsid w:val="16BD38FF"/>
    <w:rsid w:val="16D65EF5"/>
    <w:rsid w:val="16F516A4"/>
    <w:rsid w:val="17067E9D"/>
    <w:rsid w:val="17184304"/>
    <w:rsid w:val="17250EDB"/>
    <w:rsid w:val="173B67EB"/>
    <w:rsid w:val="17514A69"/>
    <w:rsid w:val="17555AF7"/>
    <w:rsid w:val="17606543"/>
    <w:rsid w:val="1771268E"/>
    <w:rsid w:val="177747C5"/>
    <w:rsid w:val="17795CB2"/>
    <w:rsid w:val="1781794F"/>
    <w:rsid w:val="17B1375A"/>
    <w:rsid w:val="17CE7E68"/>
    <w:rsid w:val="17F9165D"/>
    <w:rsid w:val="17FD5CFB"/>
    <w:rsid w:val="181C5AFE"/>
    <w:rsid w:val="18262728"/>
    <w:rsid w:val="18276115"/>
    <w:rsid w:val="18555ABF"/>
    <w:rsid w:val="185F31B6"/>
    <w:rsid w:val="189B41AF"/>
    <w:rsid w:val="189F5217"/>
    <w:rsid w:val="18F85CC5"/>
    <w:rsid w:val="1943613C"/>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412867"/>
    <w:rsid w:val="1AC27301"/>
    <w:rsid w:val="1AC3476E"/>
    <w:rsid w:val="1AE05001"/>
    <w:rsid w:val="1AE9320B"/>
    <w:rsid w:val="1B0525A1"/>
    <w:rsid w:val="1B2136A5"/>
    <w:rsid w:val="1B3C333B"/>
    <w:rsid w:val="1B3D7B6B"/>
    <w:rsid w:val="1B5468D6"/>
    <w:rsid w:val="1B7270A9"/>
    <w:rsid w:val="1B742B49"/>
    <w:rsid w:val="1B7A2038"/>
    <w:rsid w:val="1B7D4D66"/>
    <w:rsid w:val="1B830B8C"/>
    <w:rsid w:val="1B8B6665"/>
    <w:rsid w:val="1B8D1DE8"/>
    <w:rsid w:val="1BC458EB"/>
    <w:rsid w:val="1BC51582"/>
    <w:rsid w:val="1BCA6B98"/>
    <w:rsid w:val="1BDB4E23"/>
    <w:rsid w:val="1BEA478F"/>
    <w:rsid w:val="1BFF07B9"/>
    <w:rsid w:val="1C1447AF"/>
    <w:rsid w:val="1C3542B7"/>
    <w:rsid w:val="1C4E3A72"/>
    <w:rsid w:val="1C591E3C"/>
    <w:rsid w:val="1C5A6DF2"/>
    <w:rsid w:val="1C8702AB"/>
    <w:rsid w:val="1CAD29F5"/>
    <w:rsid w:val="1CD04682"/>
    <w:rsid w:val="1CDC3A7F"/>
    <w:rsid w:val="1CDE2D4A"/>
    <w:rsid w:val="1CDF3C59"/>
    <w:rsid w:val="1CE41B29"/>
    <w:rsid w:val="1CF6219E"/>
    <w:rsid w:val="1D011989"/>
    <w:rsid w:val="1D1C4C9A"/>
    <w:rsid w:val="1D2C0C7A"/>
    <w:rsid w:val="1D4318D2"/>
    <w:rsid w:val="1D435A83"/>
    <w:rsid w:val="1D502683"/>
    <w:rsid w:val="1D547061"/>
    <w:rsid w:val="1D582C93"/>
    <w:rsid w:val="1D6A0A81"/>
    <w:rsid w:val="1D8F37AE"/>
    <w:rsid w:val="1DA538B1"/>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6B6469"/>
    <w:rsid w:val="1F837870"/>
    <w:rsid w:val="1F84184E"/>
    <w:rsid w:val="1F8841C9"/>
    <w:rsid w:val="1F942DC6"/>
    <w:rsid w:val="1F9F5217"/>
    <w:rsid w:val="1F9F7B9A"/>
    <w:rsid w:val="1FC653B9"/>
    <w:rsid w:val="1FC830F6"/>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D111C"/>
    <w:rsid w:val="20DE2F63"/>
    <w:rsid w:val="20ED699B"/>
    <w:rsid w:val="20EE157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641680"/>
    <w:rsid w:val="2375570F"/>
    <w:rsid w:val="23870C5D"/>
    <w:rsid w:val="23B23A20"/>
    <w:rsid w:val="23B5629D"/>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06A02"/>
    <w:rsid w:val="257D4C7B"/>
    <w:rsid w:val="25AD37B3"/>
    <w:rsid w:val="25CD46BA"/>
    <w:rsid w:val="25D12068"/>
    <w:rsid w:val="25D376ED"/>
    <w:rsid w:val="25F72C80"/>
    <w:rsid w:val="261E2FED"/>
    <w:rsid w:val="262D3499"/>
    <w:rsid w:val="2631307A"/>
    <w:rsid w:val="264F0DC8"/>
    <w:rsid w:val="26505959"/>
    <w:rsid w:val="266320C3"/>
    <w:rsid w:val="26757836"/>
    <w:rsid w:val="267942C6"/>
    <w:rsid w:val="268169ED"/>
    <w:rsid w:val="26936A6A"/>
    <w:rsid w:val="26AC54AE"/>
    <w:rsid w:val="26AE35E3"/>
    <w:rsid w:val="26CA2142"/>
    <w:rsid w:val="26CC5821"/>
    <w:rsid w:val="26D9686E"/>
    <w:rsid w:val="26E16978"/>
    <w:rsid w:val="26EA132C"/>
    <w:rsid w:val="270A6B81"/>
    <w:rsid w:val="27224050"/>
    <w:rsid w:val="27335F39"/>
    <w:rsid w:val="27573233"/>
    <w:rsid w:val="276F5392"/>
    <w:rsid w:val="276F78A4"/>
    <w:rsid w:val="277F5371"/>
    <w:rsid w:val="27897256"/>
    <w:rsid w:val="279E6A72"/>
    <w:rsid w:val="27A22B9A"/>
    <w:rsid w:val="27BA7541"/>
    <w:rsid w:val="27D36DD5"/>
    <w:rsid w:val="27E17707"/>
    <w:rsid w:val="2832016E"/>
    <w:rsid w:val="28332E82"/>
    <w:rsid w:val="28463A4A"/>
    <w:rsid w:val="28945AD5"/>
    <w:rsid w:val="28A17421"/>
    <w:rsid w:val="28CB2405"/>
    <w:rsid w:val="28CC65CA"/>
    <w:rsid w:val="28E4564A"/>
    <w:rsid w:val="28FD4C25"/>
    <w:rsid w:val="29121767"/>
    <w:rsid w:val="293529A7"/>
    <w:rsid w:val="294549B1"/>
    <w:rsid w:val="298E4667"/>
    <w:rsid w:val="299921F9"/>
    <w:rsid w:val="299E263B"/>
    <w:rsid w:val="29AC15DA"/>
    <w:rsid w:val="29C849C9"/>
    <w:rsid w:val="29E638F8"/>
    <w:rsid w:val="2A1D6B49"/>
    <w:rsid w:val="2A571212"/>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452391"/>
    <w:rsid w:val="2E4A067E"/>
    <w:rsid w:val="2E5113E2"/>
    <w:rsid w:val="2E606FE3"/>
    <w:rsid w:val="2E704C0F"/>
    <w:rsid w:val="2E720D19"/>
    <w:rsid w:val="2E821BE2"/>
    <w:rsid w:val="2E9F5461"/>
    <w:rsid w:val="2EA339A5"/>
    <w:rsid w:val="2EA91D25"/>
    <w:rsid w:val="2EBF17FD"/>
    <w:rsid w:val="2EBF392D"/>
    <w:rsid w:val="2EC30534"/>
    <w:rsid w:val="2EC92087"/>
    <w:rsid w:val="2EDC19B7"/>
    <w:rsid w:val="2EED00C8"/>
    <w:rsid w:val="2EF11D09"/>
    <w:rsid w:val="2F1C5807"/>
    <w:rsid w:val="2F21432D"/>
    <w:rsid w:val="2F266163"/>
    <w:rsid w:val="2F2E5C2B"/>
    <w:rsid w:val="2F590537"/>
    <w:rsid w:val="2F7E56E8"/>
    <w:rsid w:val="2F8D4F86"/>
    <w:rsid w:val="2FB62E8D"/>
    <w:rsid w:val="30045BF1"/>
    <w:rsid w:val="300C6F30"/>
    <w:rsid w:val="302F697C"/>
    <w:rsid w:val="303B074A"/>
    <w:rsid w:val="303D10B7"/>
    <w:rsid w:val="30620D79"/>
    <w:rsid w:val="307716A4"/>
    <w:rsid w:val="30791531"/>
    <w:rsid w:val="309D35EF"/>
    <w:rsid w:val="30B66302"/>
    <w:rsid w:val="30B751B3"/>
    <w:rsid w:val="30E35EBD"/>
    <w:rsid w:val="30EF615D"/>
    <w:rsid w:val="30FD3114"/>
    <w:rsid w:val="30FD66FE"/>
    <w:rsid w:val="31254E86"/>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722A86"/>
    <w:rsid w:val="32A15D40"/>
    <w:rsid w:val="32C23720"/>
    <w:rsid w:val="32D33D11"/>
    <w:rsid w:val="32E2300A"/>
    <w:rsid w:val="33035B90"/>
    <w:rsid w:val="33100AE4"/>
    <w:rsid w:val="333052D8"/>
    <w:rsid w:val="3356659E"/>
    <w:rsid w:val="3388358D"/>
    <w:rsid w:val="33941B0E"/>
    <w:rsid w:val="33A67436"/>
    <w:rsid w:val="33C573CB"/>
    <w:rsid w:val="33DF6EC3"/>
    <w:rsid w:val="33EA6B5F"/>
    <w:rsid w:val="33FF7757"/>
    <w:rsid w:val="3402767A"/>
    <w:rsid w:val="34034EE6"/>
    <w:rsid w:val="343069EA"/>
    <w:rsid w:val="343C44D4"/>
    <w:rsid w:val="3445237C"/>
    <w:rsid w:val="34487B5D"/>
    <w:rsid w:val="345D7407"/>
    <w:rsid w:val="346C40F4"/>
    <w:rsid w:val="347A4B5A"/>
    <w:rsid w:val="34820779"/>
    <w:rsid w:val="34826A34"/>
    <w:rsid w:val="34C13954"/>
    <w:rsid w:val="34CD11F9"/>
    <w:rsid w:val="34DF0FFB"/>
    <w:rsid w:val="34FD6977"/>
    <w:rsid w:val="35091493"/>
    <w:rsid w:val="35131187"/>
    <w:rsid w:val="351849C1"/>
    <w:rsid w:val="351F7AFD"/>
    <w:rsid w:val="35664635"/>
    <w:rsid w:val="35764CC9"/>
    <w:rsid w:val="357F680D"/>
    <w:rsid w:val="35903ACA"/>
    <w:rsid w:val="35A9536A"/>
    <w:rsid w:val="35AC6226"/>
    <w:rsid w:val="35BF7FD5"/>
    <w:rsid w:val="35C87EEC"/>
    <w:rsid w:val="35E548A3"/>
    <w:rsid w:val="362B46A7"/>
    <w:rsid w:val="363E3FB3"/>
    <w:rsid w:val="364A6DFC"/>
    <w:rsid w:val="36533F02"/>
    <w:rsid w:val="368558B3"/>
    <w:rsid w:val="36876E6A"/>
    <w:rsid w:val="36980DD0"/>
    <w:rsid w:val="36C0156D"/>
    <w:rsid w:val="36CF4BC1"/>
    <w:rsid w:val="36D06F22"/>
    <w:rsid w:val="370C460C"/>
    <w:rsid w:val="37117618"/>
    <w:rsid w:val="371B6C62"/>
    <w:rsid w:val="373B0A3F"/>
    <w:rsid w:val="375F0F03"/>
    <w:rsid w:val="37702AE4"/>
    <w:rsid w:val="377A75FB"/>
    <w:rsid w:val="378D51F2"/>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266477"/>
    <w:rsid w:val="392E59B6"/>
    <w:rsid w:val="39497A4F"/>
    <w:rsid w:val="3952271F"/>
    <w:rsid w:val="39655B7A"/>
    <w:rsid w:val="396D35AB"/>
    <w:rsid w:val="39786167"/>
    <w:rsid w:val="397D063A"/>
    <w:rsid w:val="398F73DC"/>
    <w:rsid w:val="399C65C7"/>
    <w:rsid w:val="39C01BBA"/>
    <w:rsid w:val="39C731AB"/>
    <w:rsid w:val="39FE2850"/>
    <w:rsid w:val="3A085BAA"/>
    <w:rsid w:val="3A185D33"/>
    <w:rsid w:val="3A2C2104"/>
    <w:rsid w:val="3A967177"/>
    <w:rsid w:val="3A9D43B8"/>
    <w:rsid w:val="3AB3450A"/>
    <w:rsid w:val="3AB73885"/>
    <w:rsid w:val="3AD155B7"/>
    <w:rsid w:val="3AD41A3C"/>
    <w:rsid w:val="3AF07408"/>
    <w:rsid w:val="3AFA4DDD"/>
    <w:rsid w:val="3B2D1CE0"/>
    <w:rsid w:val="3B2E1991"/>
    <w:rsid w:val="3B41700C"/>
    <w:rsid w:val="3B4336D5"/>
    <w:rsid w:val="3B862458"/>
    <w:rsid w:val="3B8F4DF4"/>
    <w:rsid w:val="3B915C89"/>
    <w:rsid w:val="3BBE774B"/>
    <w:rsid w:val="3BCA36FC"/>
    <w:rsid w:val="3BD60C4D"/>
    <w:rsid w:val="3BDB75C3"/>
    <w:rsid w:val="3BFB140F"/>
    <w:rsid w:val="3C6B2863"/>
    <w:rsid w:val="3C7E046A"/>
    <w:rsid w:val="3CA2060D"/>
    <w:rsid w:val="3CC669C0"/>
    <w:rsid w:val="3CC742EA"/>
    <w:rsid w:val="3CCC78C1"/>
    <w:rsid w:val="3D191420"/>
    <w:rsid w:val="3D4729E2"/>
    <w:rsid w:val="3D870377"/>
    <w:rsid w:val="3DB644C5"/>
    <w:rsid w:val="3DB64F42"/>
    <w:rsid w:val="3DBA3955"/>
    <w:rsid w:val="3DC64303"/>
    <w:rsid w:val="3DFD18E3"/>
    <w:rsid w:val="3E234CC4"/>
    <w:rsid w:val="3E321A01"/>
    <w:rsid w:val="3E3454D4"/>
    <w:rsid w:val="3E430296"/>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F2021"/>
    <w:rsid w:val="40FD44FE"/>
    <w:rsid w:val="410D54FF"/>
    <w:rsid w:val="411D3F96"/>
    <w:rsid w:val="412233A4"/>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E5AF5"/>
    <w:rsid w:val="43AF4742"/>
    <w:rsid w:val="43C646E2"/>
    <w:rsid w:val="43D9610F"/>
    <w:rsid w:val="43E04637"/>
    <w:rsid w:val="43FA55C2"/>
    <w:rsid w:val="441270B5"/>
    <w:rsid w:val="44190C7C"/>
    <w:rsid w:val="4422096E"/>
    <w:rsid w:val="444157D5"/>
    <w:rsid w:val="44466E54"/>
    <w:rsid w:val="446D66E7"/>
    <w:rsid w:val="44833717"/>
    <w:rsid w:val="44A122DD"/>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CA2A30"/>
    <w:rsid w:val="46E55EA9"/>
    <w:rsid w:val="46E903F6"/>
    <w:rsid w:val="46FF778E"/>
    <w:rsid w:val="4702061D"/>
    <w:rsid w:val="470F50AF"/>
    <w:rsid w:val="471A08BE"/>
    <w:rsid w:val="471C3E9C"/>
    <w:rsid w:val="472D380E"/>
    <w:rsid w:val="473B610C"/>
    <w:rsid w:val="47407861"/>
    <w:rsid w:val="4756581D"/>
    <w:rsid w:val="477E34E4"/>
    <w:rsid w:val="4791799F"/>
    <w:rsid w:val="479428F1"/>
    <w:rsid w:val="47971775"/>
    <w:rsid w:val="47BE0861"/>
    <w:rsid w:val="47CC5BBD"/>
    <w:rsid w:val="47ED3CA2"/>
    <w:rsid w:val="4801373A"/>
    <w:rsid w:val="4803315E"/>
    <w:rsid w:val="480A0199"/>
    <w:rsid w:val="481467FD"/>
    <w:rsid w:val="482F079F"/>
    <w:rsid w:val="483010A5"/>
    <w:rsid w:val="48334E31"/>
    <w:rsid w:val="4839790E"/>
    <w:rsid w:val="483C0786"/>
    <w:rsid w:val="48550397"/>
    <w:rsid w:val="4865747A"/>
    <w:rsid w:val="48856AA8"/>
    <w:rsid w:val="488A3975"/>
    <w:rsid w:val="48951350"/>
    <w:rsid w:val="4897562F"/>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DC49B4"/>
    <w:rsid w:val="4B0801BB"/>
    <w:rsid w:val="4B0938BE"/>
    <w:rsid w:val="4B275ED4"/>
    <w:rsid w:val="4B4439C2"/>
    <w:rsid w:val="4B4E0FC1"/>
    <w:rsid w:val="4B5A11A2"/>
    <w:rsid w:val="4B613829"/>
    <w:rsid w:val="4B7343E0"/>
    <w:rsid w:val="4B7B6C4C"/>
    <w:rsid w:val="4B8143F2"/>
    <w:rsid w:val="4B9565DB"/>
    <w:rsid w:val="4BA9289B"/>
    <w:rsid w:val="4BC624A8"/>
    <w:rsid w:val="4BED5700"/>
    <w:rsid w:val="4BF54DFA"/>
    <w:rsid w:val="4C0300F2"/>
    <w:rsid w:val="4C25088A"/>
    <w:rsid w:val="4C260C7A"/>
    <w:rsid w:val="4C272002"/>
    <w:rsid w:val="4C51523E"/>
    <w:rsid w:val="4C57642E"/>
    <w:rsid w:val="4C6961B4"/>
    <w:rsid w:val="4C7622A1"/>
    <w:rsid w:val="4C9512AC"/>
    <w:rsid w:val="4CBF4CEF"/>
    <w:rsid w:val="4CCC0113"/>
    <w:rsid w:val="4CD527C8"/>
    <w:rsid w:val="4CD74D54"/>
    <w:rsid w:val="4CDC10F5"/>
    <w:rsid w:val="4CE67327"/>
    <w:rsid w:val="4CEB61EE"/>
    <w:rsid w:val="4CFF0540"/>
    <w:rsid w:val="4D1B4BF6"/>
    <w:rsid w:val="4D3043B8"/>
    <w:rsid w:val="4D3E3D50"/>
    <w:rsid w:val="4D455E95"/>
    <w:rsid w:val="4D506F55"/>
    <w:rsid w:val="4D5E1FDB"/>
    <w:rsid w:val="4D640D09"/>
    <w:rsid w:val="4D6C0912"/>
    <w:rsid w:val="4D7C205D"/>
    <w:rsid w:val="4D934E46"/>
    <w:rsid w:val="4D9D220A"/>
    <w:rsid w:val="4DAB5909"/>
    <w:rsid w:val="4DB21980"/>
    <w:rsid w:val="4DCD56A8"/>
    <w:rsid w:val="4DFD1E86"/>
    <w:rsid w:val="4E097ACA"/>
    <w:rsid w:val="4E0B01FE"/>
    <w:rsid w:val="4E4E3891"/>
    <w:rsid w:val="4E7B594C"/>
    <w:rsid w:val="4E7B64C2"/>
    <w:rsid w:val="4E9D1C1C"/>
    <w:rsid w:val="4E9F0C0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D2661"/>
    <w:rsid w:val="4FBF682B"/>
    <w:rsid w:val="4FC4665A"/>
    <w:rsid w:val="4FF3728E"/>
    <w:rsid w:val="4FFE6835"/>
    <w:rsid w:val="500258BF"/>
    <w:rsid w:val="50164E9C"/>
    <w:rsid w:val="5039019E"/>
    <w:rsid w:val="50527900"/>
    <w:rsid w:val="505A1FF4"/>
    <w:rsid w:val="505A55CD"/>
    <w:rsid w:val="50695D0B"/>
    <w:rsid w:val="50717C95"/>
    <w:rsid w:val="507E1E70"/>
    <w:rsid w:val="50860FF0"/>
    <w:rsid w:val="50CE2F73"/>
    <w:rsid w:val="510D5690"/>
    <w:rsid w:val="512348E8"/>
    <w:rsid w:val="512B60B4"/>
    <w:rsid w:val="513118E7"/>
    <w:rsid w:val="515E2842"/>
    <w:rsid w:val="51694722"/>
    <w:rsid w:val="5190720E"/>
    <w:rsid w:val="51C20F3A"/>
    <w:rsid w:val="51C621E0"/>
    <w:rsid w:val="51D05EF0"/>
    <w:rsid w:val="51E63EA3"/>
    <w:rsid w:val="51EF5217"/>
    <w:rsid w:val="51F14A65"/>
    <w:rsid w:val="51F6040A"/>
    <w:rsid w:val="52063118"/>
    <w:rsid w:val="52100AA2"/>
    <w:rsid w:val="527B18BB"/>
    <w:rsid w:val="52A9097C"/>
    <w:rsid w:val="52B54EDC"/>
    <w:rsid w:val="52C939F0"/>
    <w:rsid w:val="52EC44CE"/>
    <w:rsid w:val="53096FB7"/>
    <w:rsid w:val="5317448F"/>
    <w:rsid w:val="53231B39"/>
    <w:rsid w:val="532E3271"/>
    <w:rsid w:val="533539DF"/>
    <w:rsid w:val="53653F46"/>
    <w:rsid w:val="538439FF"/>
    <w:rsid w:val="53900643"/>
    <w:rsid w:val="53914580"/>
    <w:rsid w:val="5392540C"/>
    <w:rsid w:val="53B20924"/>
    <w:rsid w:val="53B3034F"/>
    <w:rsid w:val="53C438F2"/>
    <w:rsid w:val="53CD2711"/>
    <w:rsid w:val="540A11ED"/>
    <w:rsid w:val="543C6045"/>
    <w:rsid w:val="54442A7B"/>
    <w:rsid w:val="54577048"/>
    <w:rsid w:val="545C4EB6"/>
    <w:rsid w:val="54721B42"/>
    <w:rsid w:val="54EB1C13"/>
    <w:rsid w:val="55182082"/>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1E6AF9"/>
    <w:rsid w:val="561F5757"/>
    <w:rsid w:val="562B638E"/>
    <w:rsid w:val="56424DE3"/>
    <w:rsid w:val="568850AA"/>
    <w:rsid w:val="56BE2DED"/>
    <w:rsid w:val="56C54A4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9C0B6F"/>
    <w:rsid w:val="58A806C6"/>
    <w:rsid w:val="58B26E94"/>
    <w:rsid w:val="58D53FE9"/>
    <w:rsid w:val="59020C98"/>
    <w:rsid w:val="5959116E"/>
    <w:rsid w:val="59633BAD"/>
    <w:rsid w:val="59A71C9E"/>
    <w:rsid w:val="59A76356"/>
    <w:rsid w:val="59F04A80"/>
    <w:rsid w:val="59F519D4"/>
    <w:rsid w:val="59F85C2D"/>
    <w:rsid w:val="5A050A6E"/>
    <w:rsid w:val="5A2570B4"/>
    <w:rsid w:val="5A2630E3"/>
    <w:rsid w:val="5A307436"/>
    <w:rsid w:val="5A403EEE"/>
    <w:rsid w:val="5A4B0CCF"/>
    <w:rsid w:val="5A582702"/>
    <w:rsid w:val="5A9A1081"/>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762B57"/>
    <w:rsid w:val="5C7D3080"/>
    <w:rsid w:val="5C7E0D7E"/>
    <w:rsid w:val="5C864410"/>
    <w:rsid w:val="5CA409DB"/>
    <w:rsid w:val="5CB30722"/>
    <w:rsid w:val="5CC6567E"/>
    <w:rsid w:val="5CD77A9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8794E"/>
    <w:rsid w:val="5E0D6B87"/>
    <w:rsid w:val="5E3677AF"/>
    <w:rsid w:val="5E4C0BFA"/>
    <w:rsid w:val="5E85744A"/>
    <w:rsid w:val="5E9D79FE"/>
    <w:rsid w:val="5EA4369B"/>
    <w:rsid w:val="5EBB3B43"/>
    <w:rsid w:val="5F04373C"/>
    <w:rsid w:val="5F0F7B0F"/>
    <w:rsid w:val="5F1D3C82"/>
    <w:rsid w:val="5F341672"/>
    <w:rsid w:val="5FB2630F"/>
    <w:rsid w:val="5FD7533F"/>
    <w:rsid w:val="5FEB2D87"/>
    <w:rsid w:val="5FF92694"/>
    <w:rsid w:val="60094922"/>
    <w:rsid w:val="600E1AEF"/>
    <w:rsid w:val="60235E44"/>
    <w:rsid w:val="60247FFD"/>
    <w:rsid w:val="60285AB9"/>
    <w:rsid w:val="602F511B"/>
    <w:rsid w:val="604A5077"/>
    <w:rsid w:val="604B1BE5"/>
    <w:rsid w:val="605F2621"/>
    <w:rsid w:val="606648E2"/>
    <w:rsid w:val="606F30CE"/>
    <w:rsid w:val="60A14466"/>
    <w:rsid w:val="60B50C23"/>
    <w:rsid w:val="6107582C"/>
    <w:rsid w:val="612F392E"/>
    <w:rsid w:val="613D0256"/>
    <w:rsid w:val="614C7A15"/>
    <w:rsid w:val="618B4124"/>
    <w:rsid w:val="618D3BCD"/>
    <w:rsid w:val="61AA5A61"/>
    <w:rsid w:val="61D740F7"/>
    <w:rsid w:val="6228378C"/>
    <w:rsid w:val="6228683D"/>
    <w:rsid w:val="622D3184"/>
    <w:rsid w:val="625B5CA9"/>
    <w:rsid w:val="62756CE9"/>
    <w:rsid w:val="6294722E"/>
    <w:rsid w:val="62E56056"/>
    <w:rsid w:val="63003347"/>
    <w:rsid w:val="63023C14"/>
    <w:rsid w:val="63193A39"/>
    <w:rsid w:val="63295801"/>
    <w:rsid w:val="63471E49"/>
    <w:rsid w:val="634D713D"/>
    <w:rsid w:val="636D2F3A"/>
    <w:rsid w:val="63771C40"/>
    <w:rsid w:val="63776804"/>
    <w:rsid w:val="638B6757"/>
    <w:rsid w:val="638E4C30"/>
    <w:rsid w:val="639E2905"/>
    <w:rsid w:val="63AD2418"/>
    <w:rsid w:val="63F65FBD"/>
    <w:rsid w:val="642F4426"/>
    <w:rsid w:val="643323DD"/>
    <w:rsid w:val="64381701"/>
    <w:rsid w:val="646F5129"/>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40D8C"/>
    <w:rsid w:val="654C3728"/>
    <w:rsid w:val="654C7BEB"/>
    <w:rsid w:val="65530E8F"/>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692F41"/>
    <w:rsid w:val="6976615B"/>
    <w:rsid w:val="698A554F"/>
    <w:rsid w:val="699A4896"/>
    <w:rsid w:val="69A47AFA"/>
    <w:rsid w:val="69A76CE5"/>
    <w:rsid w:val="69A80ADF"/>
    <w:rsid w:val="69B43BB5"/>
    <w:rsid w:val="69B766F1"/>
    <w:rsid w:val="69BB5619"/>
    <w:rsid w:val="69C14A40"/>
    <w:rsid w:val="69F6289F"/>
    <w:rsid w:val="6A09181B"/>
    <w:rsid w:val="6A201236"/>
    <w:rsid w:val="6A301889"/>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B737B1"/>
    <w:rsid w:val="6ADD5CBB"/>
    <w:rsid w:val="6AF15144"/>
    <w:rsid w:val="6B0F0993"/>
    <w:rsid w:val="6B2240A0"/>
    <w:rsid w:val="6B34492E"/>
    <w:rsid w:val="6B5A7CCF"/>
    <w:rsid w:val="6B804D34"/>
    <w:rsid w:val="6B922CD6"/>
    <w:rsid w:val="6B9532DD"/>
    <w:rsid w:val="6B995E05"/>
    <w:rsid w:val="6B9C79D2"/>
    <w:rsid w:val="6BA44E6B"/>
    <w:rsid w:val="6BBD2685"/>
    <w:rsid w:val="6BFC2B36"/>
    <w:rsid w:val="6C0356D1"/>
    <w:rsid w:val="6C0861E5"/>
    <w:rsid w:val="6C7F32C4"/>
    <w:rsid w:val="6C932B17"/>
    <w:rsid w:val="6CD965DD"/>
    <w:rsid w:val="6CDF30F3"/>
    <w:rsid w:val="6CE564FB"/>
    <w:rsid w:val="6CF56B79"/>
    <w:rsid w:val="6CFD0CB4"/>
    <w:rsid w:val="6D294292"/>
    <w:rsid w:val="6D373946"/>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B2B8B"/>
    <w:rsid w:val="6EF10C0B"/>
    <w:rsid w:val="6EFA70F5"/>
    <w:rsid w:val="6F1C3A79"/>
    <w:rsid w:val="6F246A6B"/>
    <w:rsid w:val="6F266E28"/>
    <w:rsid w:val="6F392F97"/>
    <w:rsid w:val="6F501AC0"/>
    <w:rsid w:val="6F5959E9"/>
    <w:rsid w:val="6F654AB4"/>
    <w:rsid w:val="6F7264A0"/>
    <w:rsid w:val="6F7715DE"/>
    <w:rsid w:val="6F7D4D72"/>
    <w:rsid w:val="6F7E1F74"/>
    <w:rsid w:val="6F935345"/>
    <w:rsid w:val="6F9B47D1"/>
    <w:rsid w:val="6FB12692"/>
    <w:rsid w:val="6FBF6389"/>
    <w:rsid w:val="6FC753E3"/>
    <w:rsid w:val="6FDB4045"/>
    <w:rsid w:val="6FEB653F"/>
    <w:rsid w:val="700A4635"/>
    <w:rsid w:val="704A4E26"/>
    <w:rsid w:val="705E3594"/>
    <w:rsid w:val="706D47F2"/>
    <w:rsid w:val="70CC3C5C"/>
    <w:rsid w:val="70D13186"/>
    <w:rsid w:val="70DA79DB"/>
    <w:rsid w:val="70E66DDE"/>
    <w:rsid w:val="710708CC"/>
    <w:rsid w:val="710D33C2"/>
    <w:rsid w:val="71201E7A"/>
    <w:rsid w:val="713944E1"/>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55410F"/>
    <w:rsid w:val="736B0D9C"/>
    <w:rsid w:val="73B65107"/>
    <w:rsid w:val="73E96CCD"/>
    <w:rsid w:val="73E9784B"/>
    <w:rsid w:val="73F0718E"/>
    <w:rsid w:val="73FC6321"/>
    <w:rsid w:val="74070CA0"/>
    <w:rsid w:val="740A2040"/>
    <w:rsid w:val="747A3300"/>
    <w:rsid w:val="7481099D"/>
    <w:rsid w:val="74856120"/>
    <w:rsid w:val="748E118B"/>
    <w:rsid w:val="74B57A32"/>
    <w:rsid w:val="74D64864"/>
    <w:rsid w:val="74E16D8B"/>
    <w:rsid w:val="74E87DC9"/>
    <w:rsid w:val="75151909"/>
    <w:rsid w:val="751B76E8"/>
    <w:rsid w:val="751C632F"/>
    <w:rsid w:val="755D712B"/>
    <w:rsid w:val="75871A0B"/>
    <w:rsid w:val="75896036"/>
    <w:rsid w:val="75991092"/>
    <w:rsid w:val="759B5E27"/>
    <w:rsid w:val="75C04FAC"/>
    <w:rsid w:val="75C24137"/>
    <w:rsid w:val="75D03F20"/>
    <w:rsid w:val="75E623C5"/>
    <w:rsid w:val="75F83F2A"/>
    <w:rsid w:val="761335AB"/>
    <w:rsid w:val="76373B59"/>
    <w:rsid w:val="764C17F9"/>
    <w:rsid w:val="765B6B67"/>
    <w:rsid w:val="765F6F55"/>
    <w:rsid w:val="76695258"/>
    <w:rsid w:val="767945B8"/>
    <w:rsid w:val="768947FB"/>
    <w:rsid w:val="769B5423"/>
    <w:rsid w:val="76B356B1"/>
    <w:rsid w:val="76BB4F39"/>
    <w:rsid w:val="76D600D5"/>
    <w:rsid w:val="772D2EED"/>
    <w:rsid w:val="77364257"/>
    <w:rsid w:val="774D70B5"/>
    <w:rsid w:val="77711DFB"/>
    <w:rsid w:val="77791211"/>
    <w:rsid w:val="778B06B0"/>
    <w:rsid w:val="77A870F8"/>
    <w:rsid w:val="77C47A53"/>
    <w:rsid w:val="77C853D2"/>
    <w:rsid w:val="77CB6284"/>
    <w:rsid w:val="77D54C59"/>
    <w:rsid w:val="77D9063B"/>
    <w:rsid w:val="78474B5C"/>
    <w:rsid w:val="78A82F32"/>
    <w:rsid w:val="78FC7191"/>
    <w:rsid w:val="79072005"/>
    <w:rsid w:val="790F66E7"/>
    <w:rsid w:val="796558AF"/>
    <w:rsid w:val="79714322"/>
    <w:rsid w:val="797D7F1B"/>
    <w:rsid w:val="79815C5D"/>
    <w:rsid w:val="79925588"/>
    <w:rsid w:val="79B90752"/>
    <w:rsid w:val="79E84AA0"/>
    <w:rsid w:val="79F253C4"/>
    <w:rsid w:val="79F34BAE"/>
    <w:rsid w:val="7A0D2E4B"/>
    <w:rsid w:val="7A263D9D"/>
    <w:rsid w:val="7A2D254D"/>
    <w:rsid w:val="7A377F78"/>
    <w:rsid w:val="7A3C22D1"/>
    <w:rsid w:val="7A6E4C98"/>
    <w:rsid w:val="7A8C352B"/>
    <w:rsid w:val="7A9279F6"/>
    <w:rsid w:val="7AC22E37"/>
    <w:rsid w:val="7AD803EA"/>
    <w:rsid w:val="7AE91D0C"/>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464F3C"/>
    <w:rsid w:val="7C8B7927"/>
    <w:rsid w:val="7CAE35FB"/>
    <w:rsid w:val="7CB163F4"/>
    <w:rsid w:val="7CB84091"/>
    <w:rsid w:val="7CC6207B"/>
    <w:rsid w:val="7CD4053F"/>
    <w:rsid w:val="7CE876FE"/>
    <w:rsid w:val="7CE95539"/>
    <w:rsid w:val="7CFD457B"/>
    <w:rsid w:val="7D2240D7"/>
    <w:rsid w:val="7D475241"/>
    <w:rsid w:val="7D650780"/>
    <w:rsid w:val="7D796EE5"/>
    <w:rsid w:val="7D947886"/>
    <w:rsid w:val="7D99028E"/>
    <w:rsid w:val="7DBD1010"/>
    <w:rsid w:val="7DDB60E4"/>
    <w:rsid w:val="7DE91C2E"/>
    <w:rsid w:val="7DF038CA"/>
    <w:rsid w:val="7DFA36D3"/>
    <w:rsid w:val="7E0247C5"/>
    <w:rsid w:val="7E2146D8"/>
    <w:rsid w:val="7E3D10ED"/>
    <w:rsid w:val="7E4B2A52"/>
    <w:rsid w:val="7E5C2FAF"/>
    <w:rsid w:val="7E74390A"/>
    <w:rsid w:val="7EA64FD4"/>
    <w:rsid w:val="7EA652E1"/>
    <w:rsid w:val="7EAD7C73"/>
    <w:rsid w:val="7EC62B4F"/>
    <w:rsid w:val="7EC8404B"/>
    <w:rsid w:val="7ED4259F"/>
    <w:rsid w:val="7ED656C1"/>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14830</Words>
  <Characters>16078</Characters>
  <Lines>127</Lines>
  <Paragraphs>35</Paragraphs>
  <TotalTime>36</TotalTime>
  <ScaleCrop>false</ScaleCrop>
  <LinksUpToDate>false</LinksUpToDate>
  <CharactersWithSpaces>16376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2022-05-05T08:27:43Z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E228C9FAD4514C9FBD60B28EA79ABF59</vt:lpwstr>
  </property>
</Properties>
</file>