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4.14公务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4489_WPSOffice_Level2"/>
      <w:bookmarkStart w:id="6" w:name="_Toc525632585"/>
      <w:bookmarkStart w:id="7" w:name="_Toc12765"/>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rPr>
        <w:t>1.1 项目名称：</w:t>
      </w:r>
      <w:r>
        <w:rPr>
          <w:rFonts w:hint="eastAsia" w:asciiTheme="minorEastAsia" w:hAnsiTheme="minorEastAsia" w:eastAsiaTheme="minorEastAsia" w:cstheme="minorEastAsia"/>
          <w:color w:val="auto"/>
          <w:sz w:val="21"/>
          <w:szCs w:val="22"/>
          <w:highlight w:val="none"/>
          <w:u w:val="single"/>
          <w:lang w:val="en-US" w:eastAsia="zh-CN"/>
        </w:rPr>
        <w:t xml:space="preserve"> 2022年安徽交运集团汽车销售有限公司4.14公务车采购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1.2 采 购 人：</w:t>
      </w:r>
      <w:r>
        <w:rPr>
          <w:rFonts w:hint="eastAsia" w:asciiTheme="minorEastAsia" w:hAnsiTheme="minorEastAsia" w:eastAsiaTheme="minorEastAsia" w:cstheme="minorEastAsia"/>
          <w:color w:val="auto"/>
          <w:sz w:val="21"/>
          <w:szCs w:val="22"/>
          <w:highlight w:val="none"/>
          <w:u w:val="single"/>
          <w:lang w:val="en-US" w:eastAsia="zh-CN"/>
        </w:rPr>
        <w:t xml:space="preserve"> 安徽交运集团汽车销售有限公司                     </w:t>
      </w:r>
    </w:p>
    <w:p>
      <w:pPr>
        <w:snapToGrid w:val="0"/>
        <w:spacing w:line="440" w:lineRule="exact"/>
        <w:ind w:firstLine="420" w:firstLineChars="200"/>
        <w:rPr>
          <w:rFonts w:hint="eastAsia" w:asciiTheme="minorEastAsia" w:hAnsiTheme="minorEastAsia" w:eastAsiaTheme="minorEastAsia" w:cstheme="minorEastAsia"/>
          <w:color w:val="auto"/>
          <w:sz w:val="21"/>
          <w:szCs w:val="22"/>
          <w:highlight w:val="none"/>
          <w:lang w:val="en-US" w:eastAsia="zh-CN"/>
        </w:rPr>
      </w:pPr>
      <w:r>
        <w:rPr>
          <w:rFonts w:hint="eastAsia" w:asciiTheme="minorEastAsia" w:hAnsiTheme="minorEastAsia" w:eastAsiaTheme="minorEastAsia" w:cstheme="minorEastAsia"/>
          <w:color w:val="auto"/>
          <w:sz w:val="21"/>
          <w:szCs w:val="22"/>
          <w:highlight w:val="none"/>
        </w:rPr>
        <w:t xml:space="preserve">1.3 </w:t>
      </w:r>
      <w:r>
        <w:rPr>
          <w:rFonts w:hint="eastAsia" w:asciiTheme="minorEastAsia" w:hAnsiTheme="minorEastAsia" w:eastAsiaTheme="minorEastAsia" w:cstheme="minorEastAsia"/>
          <w:color w:val="auto"/>
          <w:sz w:val="21"/>
          <w:szCs w:val="22"/>
          <w:highlight w:val="none"/>
          <w:lang w:val="en-US" w:eastAsia="zh-CN"/>
        </w:rPr>
        <w:t>项目概况</w:t>
      </w:r>
      <w:r>
        <w:rPr>
          <w:rFonts w:hint="eastAsia" w:asciiTheme="minorEastAsia" w:hAnsiTheme="minorEastAsia" w:eastAsiaTheme="minorEastAsia" w:cstheme="minorEastAsia"/>
          <w:color w:val="auto"/>
          <w:sz w:val="21"/>
          <w:szCs w:val="22"/>
          <w:highlight w:val="none"/>
        </w:rPr>
        <w:t>：</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采购</w:t>
      </w:r>
      <w:r>
        <w:rPr>
          <w:rFonts w:hint="eastAsia" w:asciiTheme="minorEastAsia" w:hAnsiTheme="minorEastAsia" w:eastAsiaTheme="minorEastAsia" w:cstheme="minorEastAsia"/>
          <w:color w:val="auto"/>
          <w:szCs w:val="22"/>
          <w:highlight w:val="none"/>
          <w:u w:val="single"/>
          <w:lang w:val="en-US" w:eastAsia="zh-CN"/>
        </w:rPr>
        <w:t xml:space="preserve">1台商务车、1台轿车、3台SUV、         </w:t>
      </w:r>
      <w:r>
        <w:rPr>
          <w:rFonts w:hint="eastAsia" w:asciiTheme="minorEastAsia" w:hAnsi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r>
        <w:rPr>
          <w:rFonts w:hint="eastAsia" w:ascii="Times New Roman" w:hAnsi="Times New Roman" w:eastAsia="黑体" w:cs="Times New Roman"/>
          <w:bCs w:val="0"/>
          <w:color w:val="auto"/>
          <w:sz w:val="22"/>
          <w:szCs w:val="15"/>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rPr>
      </w:pPr>
      <w:bookmarkStart w:id="16" w:name="_Toc4489_WPSOffice_Level3"/>
      <w:r>
        <w:rPr>
          <w:rFonts w:hint="eastAsia" w:asciiTheme="minorEastAsia" w:hAnsiTheme="minorEastAsia" w:eastAsiaTheme="minorEastAsia" w:cstheme="minorEastAsia"/>
          <w:color w:val="auto"/>
          <w:sz w:val="21"/>
          <w:szCs w:val="22"/>
          <w:highlight w:val="none"/>
        </w:rPr>
        <w:t>2.1 采购方式：</w:t>
      </w:r>
      <w:bookmarkEnd w:id="16"/>
      <w:r>
        <w:rPr>
          <w:rFonts w:hint="eastAsia" w:asciiTheme="minorEastAsia" w:hAnsiTheme="minorEastAsia" w:eastAsiaTheme="minorEastAsia" w:cstheme="minorEastAsia"/>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bookmarkStart w:id="17" w:name="_Toc23266_WPSOffice_Level3"/>
      <w:r>
        <w:rPr>
          <w:rFonts w:hint="eastAsia" w:asciiTheme="minorEastAsia" w:hAnsiTheme="minorEastAsia" w:eastAsiaTheme="minorEastAsia" w:cstheme="minorEastAsia"/>
          <w:color w:val="auto"/>
          <w:sz w:val="21"/>
          <w:szCs w:val="22"/>
          <w:highlight w:val="none"/>
        </w:rPr>
        <w:t>2.2 资金来源</w:t>
      </w:r>
      <w:r>
        <w:rPr>
          <w:rFonts w:hint="eastAsia" w:asciiTheme="minorEastAsia" w:hAnsiTheme="minorEastAsia" w:eastAsiaTheme="minorEastAsia" w:cstheme="minorEastAsia"/>
          <w:color w:val="auto"/>
          <w:sz w:val="21"/>
          <w:szCs w:val="22"/>
          <w:highlight w:val="none"/>
          <w:lang w:val="en-US" w:eastAsia="zh-CN"/>
        </w:rPr>
        <w:t>及比例</w:t>
      </w:r>
      <w:r>
        <w:rPr>
          <w:rFonts w:hint="eastAsia" w:asciiTheme="minorEastAsia" w:hAnsiTheme="minorEastAsia" w:eastAsiaTheme="minorEastAsia" w:cstheme="minorEastAsia"/>
          <w:color w:val="auto"/>
          <w:sz w:val="21"/>
          <w:szCs w:val="22"/>
          <w:highlight w:val="none"/>
        </w:rPr>
        <w:t>：</w:t>
      </w:r>
      <w:bookmarkEnd w:id="17"/>
      <w:bookmarkStart w:id="18" w:name="_Toc22379_WPSOffice_Level3"/>
      <w:r>
        <w:rPr>
          <w:rFonts w:hint="eastAsia" w:asciiTheme="minorEastAsia" w:hAnsiTheme="minorEastAsia" w:eastAsiaTheme="minorEastAsia" w:cstheme="minorEastAsia"/>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2"/>
          <w:highlight w:val="none"/>
        </w:rPr>
        <w:t xml:space="preserve">2.3 </w:t>
      </w:r>
      <w:r>
        <w:rPr>
          <w:rFonts w:hint="eastAsia" w:asciiTheme="minorEastAsia" w:hAnsiTheme="minorEastAsia" w:eastAsiaTheme="minorEastAsia" w:cstheme="minorEastAsia"/>
          <w:color w:val="auto"/>
          <w:sz w:val="21"/>
          <w:szCs w:val="22"/>
          <w:highlight w:val="none"/>
          <w:lang w:val="en-US" w:eastAsia="zh-CN"/>
        </w:rPr>
        <w:t>采购范围：</w:t>
      </w:r>
      <w:r>
        <w:rPr>
          <w:rFonts w:hint="eastAsia" w:asciiTheme="minorEastAsia" w:hAnsiTheme="minorEastAsia" w:eastAsiaTheme="minorEastAsia" w:cstheme="minorEastAsia"/>
          <w:color w:val="auto"/>
          <w:sz w:val="21"/>
          <w:szCs w:val="21"/>
          <w:highlight w:val="none"/>
          <w:u w:val="single"/>
          <w:lang w:val="en-US" w:eastAsia="zh-CN"/>
        </w:rPr>
        <w:t xml:space="preserve">采购1台商务车、1台轿车、3台SUV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2.4 合同包划分：</w:t>
      </w:r>
      <w:r>
        <w:rPr>
          <w:rFonts w:hint="eastAsia" w:asciiTheme="minorEastAsia" w:hAnsiTheme="minorEastAsia" w:eastAsiaTheme="minorEastAsia" w:cstheme="minorEastAsia"/>
          <w:color w:val="auto"/>
          <w:sz w:val="21"/>
          <w:szCs w:val="22"/>
          <w:highlight w:val="none"/>
          <w:u w:val="single"/>
          <w:lang w:val="en-US" w:eastAsia="zh-CN"/>
        </w:rPr>
        <w:t>分包（采购1台商务车和1台轿车为1包 控制价43万元，采购3台SUV 为2包 控制价 54万元）</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 xml:space="preserve">2.5 </w:t>
      </w:r>
      <w:r>
        <w:rPr>
          <w:rFonts w:hint="eastAsia" w:asciiTheme="minorEastAsia" w:hAnsiTheme="minorEastAsia" w:eastAsiaTheme="minorEastAsia" w:cstheme="minorEastAsia"/>
          <w:color w:val="auto"/>
          <w:sz w:val="21"/>
          <w:szCs w:val="22"/>
          <w:highlight w:val="none"/>
        </w:rPr>
        <w:t>最高限价：</w:t>
      </w:r>
      <w:bookmarkEnd w:id="18"/>
      <w:r>
        <w:rPr>
          <w:rFonts w:hint="eastAsia" w:asciiTheme="minorEastAsia" w:hAnsiTheme="minorEastAsia" w:eastAsiaTheme="minorEastAsia" w:cstheme="minorEastAsia"/>
          <w:color w:val="auto"/>
          <w:sz w:val="21"/>
          <w:szCs w:val="22"/>
          <w:highlight w:val="none"/>
          <w:u w:val="single"/>
          <w:lang w:val="en-US" w:eastAsia="zh-CN"/>
        </w:rPr>
        <w:t xml:space="preserve"> 控制价97万元（包含车辆购置税）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2"/>
          <w:highlight w:val="none"/>
          <w:lang w:val="en-US" w:eastAsia="zh-CN"/>
        </w:rPr>
        <w:t>2.6 计划交货期：</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sz w:val="21"/>
          <w:szCs w:val="21"/>
          <w:u w:val="single"/>
        </w:rPr>
        <w:t>合同签订之日起</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rPr>
        <w:t>个日历天内</w:t>
      </w:r>
      <w:r>
        <w:rPr>
          <w:rFonts w:hint="eastAsia" w:asciiTheme="minorEastAsia" w:hAnsiTheme="minorEastAsia" w:eastAsiaTheme="minorEastAsia" w:cstheme="minorEastAsia"/>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color w:val="auto"/>
          <w:sz w:val="21"/>
          <w:szCs w:val="22"/>
          <w:highlight w:val="none"/>
          <w:u w:val="none"/>
          <w:lang w:val="en-US" w:eastAsia="zh-CN"/>
        </w:rPr>
        <w:t xml:space="preserve">2.7 </w:t>
      </w:r>
      <w:r>
        <w:rPr>
          <w:rFonts w:hint="eastAsia" w:asciiTheme="minorEastAsia" w:hAnsiTheme="minorEastAsia" w:eastAsiaTheme="minorEastAsia" w:cstheme="minorEastAsia"/>
          <w:color w:val="auto"/>
          <w:sz w:val="21"/>
          <w:szCs w:val="22"/>
          <w:highlight w:val="none"/>
          <w:u w:val="single"/>
          <w:lang w:val="en-US" w:eastAsia="zh-CN"/>
        </w:rPr>
        <w:t>每个供应商对合同包进行分开报价，报价需含销售差价。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6388"/>
      <w:bookmarkStart w:id="21" w:name="_Toc525632587"/>
      <w:bookmarkStart w:id="22" w:name="_Toc3714"/>
      <w:bookmarkStart w:id="23" w:name="_Toc22379_WPSOffice_Level2"/>
      <w:bookmarkStart w:id="24" w:name="_Toc29516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eastAsia" w:asciiTheme="minorEastAsia" w:hAnsiTheme="minorEastAsia" w:eastAsiaTheme="minorEastAsia" w:cstheme="minorEastAsia"/>
          <w:color w:val="auto"/>
          <w:sz w:val="21"/>
          <w:szCs w:val="22"/>
          <w:highlight w:val="none"/>
        </w:rPr>
        <w:t>响应文件递交的截止时间为</w:t>
      </w:r>
      <w:r>
        <w:rPr>
          <w:rFonts w:hint="eastAsia" w:asciiTheme="minorEastAsia" w:hAnsiTheme="minorEastAsia" w:eastAsiaTheme="minorEastAsia" w:cstheme="minorEastAsia"/>
          <w:color w:val="auto"/>
          <w:sz w:val="21"/>
          <w:szCs w:val="22"/>
          <w:highlight w:val="none"/>
          <w:u w:val="single"/>
          <w:lang w:val="en-US" w:eastAsia="zh-CN"/>
        </w:rPr>
        <w:t xml:space="preserve"> 2022 </w:t>
      </w:r>
      <w:r>
        <w:rPr>
          <w:rFonts w:hint="eastAsia" w:asciiTheme="minorEastAsia" w:hAnsiTheme="minorEastAsia" w:eastAsiaTheme="minorEastAsia" w:cstheme="minorEastAsia"/>
          <w:color w:val="auto"/>
          <w:sz w:val="21"/>
          <w:szCs w:val="22"/>
          <w:highlight w:val="none"/>
          <w:lang w:val="en-US" w:eastAsia="zh-CN"/>
        </w:rPr>
        <w:t>年</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4</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lang w:val="en-US" w:eastAsia="zh-CN"/>
        </w:rPr>
        <w:t>月</w:t>
      </w:r>
      <w:r>
        <w:rPr>
          <w:rFonts w:hint="eastAsia" w:asciiTheme="minorEastAsia" w:hAnsiTheme="minorEastAsia" w:eastAsiaTheme="minorEastAsia" w:cstheme="minorEastAsia"/>
          <w:color w:val="auto"/>
          <w:sz w:val="21"/>
          <w:szCs w:val="22"/>
          <w:highlight w:val="none"/>
          <w:u w:val="single"/>
          <w:lang w:val="en-US" w:eastAsia="zh-CN"/>
        </w:rPr>
        <w:t xml:space="preserve"> 20 </w:t>
      </w:r>
      <w:r>
        <w:rPr>
          <w:rFonts w:hint="eastAsia" w:asciiTheme="minorEastAsia" w:hAnsiTheme="minorEastAsia" w:eastAsiaTheme="minorEastAsia" w:cstheme="minorEastAsia"/>
          <w:color w:val="auto"/>
          <w:sz w:val="21"/>
          <w:szCs w:val="22"/>
          <w:highlight w:val="none"/>
          <w:lang w:val="en-US" w:eastAsia="zh-CN"/>
        </w:rPr>
        <w:t>日</w:t>
      </w:r>
      <w:r>
        <w:rPr>
          <w:rFonts w:hint="eastAsia" w:asciiTheme="minorEastAsia" w:hAnsiTheme="minorEastAsia" w:eastAsiaTheme="minorEastAsia" w:cstheme="minorEastAsia"/>
          <w:color w:val="auto"/>
          <w:sz w:val="21"/>
          <w:szCs w:val="22"/>
          <w:highlight w:val="none"/>
          <w:u w:val="single"/>
          <w:lang w:val="en-US" w:eastAsia="zh-CN"/>
        </w:rPr>
        <w:t xml:space="preserve"> 9 </w:t>
      </w:r>
      <w:r>
        <w:rPr>
          <w:rFonts w:hint="eastAsia" w:asciiTheme="minorEastAsia" w:hAnsiTheme="minorEastAsia" w:eastAsiaTheme="minorEastAsia" w:cstheme="minorEastAsia"/>
          <w:color w:val="auto"/>
          <w:sz w:val="21"/>
          <w:szCs w:val="22"/>
          <w:highlight w:val="none"/>
          <w:lang w:val="en-US" w:eastAsia="zh-CN"/>
        </w:rPr>
        <w:t>时</w:t>
      </w:r>
      <w:r>
        <w:rPr>
          <w:rFonts w:hint="eastAsia" w:asciiTheme="minorEastAsia" w:hAnsiTheme="minorEastAsia" w:eastAsiaTheme="minorEastAsia" w:cstheme="minorEastAsia"/>
          <w:color w:val="auto"/>
          <w:sz w:val="21"/>
          <w:szCs w:val="22"/>
          <w:highlight w:val="none"/>
          <w:u w:val="single"/>
          <w:lang w:val="en-US" w:eastAsia="zh-CN"/>
        </w:rPr>
        <w:t xml:space="preserve"> 30 </w:t>
      </w:r>
      <w:r>
        <w:rPr>
          <w:rFonts w:hint="eastAsia" w:asciiTheme="minorEastAsia" w:hAnsiTheme="minorEastAsia" w:eastAsiaTheme="minorEastAsia" w:cstheme="minorEastAsia"/>
          <w:color w:val="auto"/>
          <w:sz w:val="21"/>
          <w:szCs w:val="22"/>
          <w:highlight w:val="none"/>
          <w:lang w:val="en-US" w:eastAsia="zh-CN"/>
        </w:rPr>
        <w:t>分</w:t>
      </w:r>
      <w:r>
        <w:rPr>
          <w:rFonts w:hint="eastAsia" w:asciiTheme="minorEastAsia" w:hAnsiTheme="minorEastAsia" w:eastAsiaTheme="minorEastAsia" w:cstheme="minorEastAsia"/>
          <w:color w:val="auto"/>
          <w:sz w:val="21"/>
          <w:szCs w:val="22"/>
          <w:highlight w:val="none"/>
        </w:rPr>
        <w:t>，供应商的法定代表人或其授权代理人应于</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2022</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年</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cstheme="minorEastAsia"/>
          <w:color w:val="auto"/>
          <w:szCs w:val="22"/>
          <w:highlight w:val="none"/>
          <w:u w:val="single"/>
          <w:lang w:val="en-US" w:eastAsia="zh-CN"/>
        </w:rPr>
        <w:t>4</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rPr>
        <w:t>月</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20 </w:t>
      </w:r>
      <w:r>
        <w:rPr>
          <w:rFonts w:hint="eastAsia" w:asciiTheme="minorEastAsia" w:hAnsiTheme="minorEastAsia" w:eastAsiaTheme="minorEastAsia" w:cstheme="minorEastAsia"/>
          <w:color w:val="auto"/>
          <w:szCs w:val="22"/>
          <w:highlight w:val="none"/>
        </w:rPr>
        <w:t>日</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9</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时</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30</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分</w:t>
      </w:r>
      <w:r>
        <w:rPr>
          <w:rFonts w:hint="eastAsia" w:asciiTheme="minorEastAsia" w:hAnsiTheme="minorEastAsia" w:eastAsiaTheme="minorEastAsia" w:cstheme="minorEastAsia"/>
          <w:color w:val="auto"/>
          <w:szCs w:val="22"/>
          <w:highlight w:val="none"/>
          <w:lang w:val="en-US" w:eastAsia="zh-CN"/>
        </w:rPr>
        <w:t>至</w:t>
      </w:r>
      <w:r>
        <w:rPr>
          <w:rFonts w:hint="eastAsia" w:asciiTheme="minorEastAsia" w:hAnsiTheme="minorEastAsia" w:eastAsiaTheme="minorEastAsia" w:cstheme="minorEastAsia"/>
          <w:color w:val="auto"/>
          <w:szCs w:val="22"/>
          <w:highlight w:val="none"/>
        </w:rPr>
        <w:t>递交的截止时间前将响应文件</w:t>
      </w:r>
      <w:r>
        <w:rPr>
          <w:rFonts w:hint="eastAsia" w:asciiTheme="minorEastAsia" w:hAnsiTheme="minorEastAsia" w:eastAsiaTheme="minorEastAsia" w:cstheme="minorEastAsia"/>
          <w:color w:val="auto"/>
          <w:szCs w:val="22"/>
          <w:highlight w:val="none"/>
          <w:lang w:val="en-US" w:eastAsia="zh-CN"/>
        </w:rPr>
        <w:t>递交至</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合肥市胜利路</w:t>
      </w:r>
      <w:r>
        <w:rPr>
          <w:rFonts w:hint="eastAsia" w:asciiTheme="minorEastAsia" w:hAnsiTheme="minorEastAsia" w:eastAsiaTheme="minorEastAsia" w:cstheme="minorEastAsia"/>
          <w:color w:val="auto"/>
          <w:szCs w:val="22"/>
          <w:highlight w:val="none"/>
          <w:u w:val="single"/>
          <w:lang w:val="en-US" w:eastAsia="zh-CN"/>
        </w:rPr>
        <w:t>35号，</w:t>
      </w:r>
      <w:r>
        <w:rPr>
          <w:rFonts w:hint="eastAsia" w:asciiTheme="minorEastAsia" w:hAnsiTheme="minorEastAsia" w:eastAsiaTheme="minorEastAsia" w:cstheme="minorEastAsia"/>
          <w:color w:val="auto"/>
          <w:szCs w:val="22"/>
          <w:highlight w:val="none"/>
          <w:u w:val="single"/>
          <w:lang w:eastAsia="zh-CN"/>
        </w:rPr>
        <w:t>交通饭店三楼</w:t>
      </w:r>
      <w:r>
        <w:rPr>
          <w:rFonts w:hint="eastAsia" w:asciiTheme="minorEastAsia" w:hAnsiTheme="minorEastAsia" w:eastAsiaTheme="minorEastAsia" w:cstheme="minorEastAsia"/>
          <w:color w:val="auto"/>
          <w:szCs w:val="22"/>
          <w:highlight w:val="none"/>
          <w:u w:val="single"/>
          <w:lang w:val="en-US" w:eastAsia="zh-CN"/>
        </w:rPr>
        <w:t xml:space="preserve"> 汽车销售有限公司</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 w:val="21"/>
          <w:szCs w:val="22"/>
          <w:highlight w:val="none"/>
          <w:lang w:val="en-US" w:eastAsia="zh-CN"/>
        </w:rPr>
        <w:t>（地点）</w:t>
      </w:r>
      <w:r>
        <w:rPr>
          <w:rFonts w:hint="eastAsia" w:asciiTheme="minorEastAsia" w:hAnsiTheme="minorEastAsia" w:eastAsiaTheme="minorEastAsia" w:cstheme="minorEastAsia"/>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0572_WPSOffice_Level2"/>
      <w:bookmarkStart w:id="38" w:name="_Toc525632592"/>
      <w:bookmarkStart w:id="39" w:name="_Toc28571_WPSOffice_Level2"/>
      <w:bookmarkStart w:id="40" w:name="_Toc14943_WPSOffice_Level2"/>
      <w:bookmarkStart w:id="41" w:name="_Toc26829"/>
      <w:bookmarkStart w:id="42" w:name="_Toc321_WPSOffice_Level2"/>
      <w:bookmarkStart w:id="43" w:name="_Toc8501"/>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jc w:val="center"/>
        <w:rPr>
          <w:rFonts w:hint="eastAsia" w:ascii="宋体" w:hAnsi="宋体" w:cs="仿宋_GB2312"/>
          <w:sz w:val="30"/>
          <w:szCs w:val="30"/>
          <w:lang w:val="en-US" w:eastAsia="zh-CN"/>
        </w:rPr>
      </w:pPr>
      <w:r>
        <w:rPr>
          <w:rFonts w:hint="eastAsia"/>
          <w:b/>
          <w:bCs/>
          <w:sz w:val="32"/>
          <w:szCs w:val="40"/>
          <w:lang w:val="en-US" w:eastAsia="zh-CN"/>
        </w:rPr>
        <w:t>GL8 陆上公务舱652T 舒适型技术参数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长×宽×高[mm]</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5238*1878*1776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轴距[mm]</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座位数[个]</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"http://baike.bitauto.com/other/20120629/1405745271.html" \t "http://car.bitauto.com/biekegl8/peizhi/_blank"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排量(mL)</w:t>
            </w:r>
            <w:r>
              <w:rPr>
                <w:rFonts w:hint="eastAsia" w:ascii="宋体" w:hAnsi="宋体" w:eastAsia="宋体" w:cs="宋体"/>
                <w:b w:val="0"/>
                <w:bCs/>
                <w:sz w:val="21"/>
                <w:szCs w:val="21"/>
              </w:rPr>
              <w:fldChar w:fldCharType="end"/>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能源类型</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汽油+48V轻混系统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最大额定功率（Kw/rpm）</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"http://baike.bitauto.com/basictechparam/20120824/1405815088.html" \t "http://car.bitauto.com/biekegl8/peizhi/_blank"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变速箱类型</w:t>
            </w:r>
            <w:r>
              <w:rPr>
                <w:rFonts w:hint="eastAsia" w:ascii="宋体" w:hAnsi="宋体" w:eastAsia="宋体" w:cs="宋体"/>
                <w:b w:val="0"/>
                <w:bCs/>
                <w:sz w:val="21"/>
                <w:szCs w:val="21"/>
              </w:rPr>
              <w:fldChar w:fldCharType="end"/>
            </w:r>
          </w:p>
        </w:tc>
        <w:tc>
          <w:tcPr>
            <w:tcW w:w="4261" w:type="dxa"/>
            <w:noWrap w:val="0"/>
            <w:vAlign w:val="center"/>
          </w:tcPr>
          <w:p>
            <w:pPr>
              <w:jc w:val="both"/>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9速变速箱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电子排挡</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中控屏</w:t>
            </w:r>
          </w:p>
        </w:tc>
        <w:tc>
          <w:tcPr>
            <w:tcW w:w="4261" w:type="dxa"/>
            <w:noWrap w:val="0"/>
            <w:vAlign w:val="center"/>
          </w:tcPr>
          <w:p>
            <w:pPr>
              <w:jc w:val="both"/>
              <w:rPr>
                <w:rFonts w:hint="eastAsia" w:ascii="宋体" w:hAnsi="宋体" w:eastAsia="宋体" w:cs="宋体"/>
                <w:b w:val="0"/>
                <w:bCs/>
                <w:sz w:val="21"/>
                <w:szCs w:val="21"/>
              </w:rPr>
            </w:pPr>
            <w:r>
              <w:rPr>
                <w:rFonts w:hint="eastAsia" w:ascii="宋体" w:hAnsi="宋体" w:eastAsia="宋体" w:cs="宋体"/>
                <w:b w:val="0"/>
                <w:bCs/>
                <w:sz w:val="21"/>
                <w:szCs w:val="21"/>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LED大灯</w:t>
            </w:r>
          </w:p>
        </w:tc>
        <w:tc>
          <w:tcPr>
            <w:tcW w:w="4261" w:type="dxa"/>
            <w:noWrap w:val="0"/>
            <w:vAlign w:val="center"/>
          </w:tcPr>
          <w:p>
            <w:pPr>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后驻车雷达</w:t>
            </w:r>
          </w:p>
        </w:tc>
        <w:tc>
          <w:tcPr>
            <w:tcW w:w="4261" w:type="dxa"/>
            <w:noWrap w:val="0"/>
            <w:vAlign w:val="center"/>
          </w:tcPr>
          <w:p>
            <w:pPr>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eastAsia="zh-CN"/>
              </w:rPr>
              <w:t>有</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sz w:val="21"/>
          <w:szCs w:val="21"/>
          <w:lang w:val="en-US" w:eastAsia="zh-CN"/>
        </w:rPr>
      </w:pPr>
    </w:p>
    <w:p>
      <w:pPr>
        <w:jc w:val="center"/>
        <w:rPr>
          <w:rFonts w:hint="eastAsia"/>
          <w:b/>
          <w:bCs/>
          <w:sz w:val="32"/>
          <w:szCs w:val="40"/>
          <w:lang w:val="en-US" w:eastAsia="zh-CN"/>
        </w:rPr>
      </w:pPr>
      <w:r>
        <w:rPr>
          <w:rFonts w:hint="eastAsia"/>
          <w:b/>
          <w:bCs/>
          <w:sz w:val="32"/>
          <w:szCs w:val="40"/>
          <w:lang w:val="en-US" w:eastAsia="zh-CN"/>
        </w:rPr>
        <w:t>别克 君威 552T 智享型参数</w:t>
      </w:r>
    </w:p>
    <w:p>
      <w:pPr>
        <w:pStyle w:val="2"/>
        <w:rPr>
          <w:rFonts w:hint="eastAsia"/>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ascii="宋体" w:hAnsi="宋体" w:eastAsia="宋体" w:cs="宋体"/>
                <w:b w:val="0"/>
                <w:bCs/>
                <w:sz w:val="21"/>
                <w:szCs w:val="21"/>
              </w:rPr>
              <w:t>长×宽×高[mm]</w:t>
            </w:r>
          </w:p>
        </w:tc>
        <w:tc>
          <w:tcPr>
            <w:tcW w:w="4261" w:type="dxa"/>
            <w:noWrap w:val="0"/>
            <w:vAlign w:val="center"/>
          </w:tcPr>
          <w:p>
            <w:pPr>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4904*1863*1461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ascii="宋体" w:hAnsi="宋体" w:eastAsia="宋体" w:cs="宋体"/>
                <w:b w:val="0"/>
                <w:bCs/>
                <w:sz w:val="21"/>
                <w:szCs w:val="21"/>
              </w:rPr>
              <w:t>轴距[mm]</w:t>
            </w:r>
          </w:p>
        </w:tc>
        <w:tc>
          <w:tcPr>
            <w:tcW w:w="4261" w:type="dxa"/>
            <w:noWrap w:val="0"/>
            <w:vAlign w:val="center"/>
          </w:tcPr>
          <w:p>
            <w:pPr>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ascii="宋体" w:hAnsi="宋体" w:eastAsia="宋体" w:cs="宋体"/>
                <w:b w:val="0"/>
                <w:bCs/>
                <w:sz w:val="21"/>
                <w:szCs w:val="21"/>
              </w:rPr>
              <w:t>座位数[个]</w:t>
            </w:r>
          </w:p>
        </w:tc>
        <w:tc>
          <w:tcPr>
            <w:tcW w:w="4261" w:type="dxa"/>
            <w:noWrap w:val="0"/>
            <w:vAlign w:val="center"/>
          </w:tcPr>
          <w:p>
            <w:pPr>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ascii="宋体" w:hAnsi="宋体" w:eastAsia="宋体" w:cs="宋体"/>
                <w:b w:val="0"/>
                <w:bCs/>
                <w:sz w:val="21"/>
                <w:szCs w:val="21"/>
              </w:rPr>
              <w:fldChar w:fldCharType="begin"/>
            </w:r>
            <w:r>
              <w:rPr>
                <w:rFonts w:ascii="宋体" w:hAnsi="宋体" w:eastAsia="宋体" w:cs="宋体"/>
                <w:b w:val="0"/>
                <w:bCs/>
                <w:sz w:val="21"/>
                <w:szCs w:val="21"/>
              </w:rPr>
              <w:instrText xml:space="preserve"> HYPERLINK "http://baike.bitauto.com/other/20120629/1405745271.html" \t "http://car.bitauto.com/biekegl8/peizhi/_blank" </w:instrText>
            </w:r>
            <w:r>
              <w:rPr>
                <w:rFonts w:ascii="宋体" w:hAnsi="宋体" w:eastAsia="宋体" w:cs="宋体"/>
                <w:b w:val="0"/>
                <w:bCs/>
                <w:sz w:val="21"/>
                <w:szCs w:val="21"/>
              </w:rPr>
              <w:fldChar w:fldCharType="separate"/>
            </w:r>
            <w:r>
              <w:rPr>
                <w:rFonts w:ascii="宋体" w:hAnsi="宋体" w:eastAsia="宋体" w:cs="宋体"/>
                <w:b w:val="0"/>
                <w:bCs/>
                <w:sz w:val="21"/>
                <w:szCs w:val="21"/>
              </w:rPr>
              <w:t>排量(mL)</w:t>
            </w:r>
            <w:r>
              <w:rPr>
                <w:rFonts w:ascii="宋体" w:hAnsi="宋体" w:eastAsia="宋体" w:cs="宋体"/>
                <w:b w:val="0"/>
                <w:bCs/>
                <w:sz w:val="21"/>
                <w:szCs w:val="21"/>
              </w:rPr>
              <w:fldChar w:fldCharType="end"/>
            </w:r>
          </w:p>
        </w:tc>
        <w:tc>
          <w:tcPr>
            <w:tcW w:w="4261" w:type="dxa"/>
            <w:noWrap w:val="0"/>
            <w:vAlign w:val="center"/>
          </w:tcPr>
          <w:p>
            <w:pPr>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最大额定功率（Kw/rpm）</w:t>
            </w:r>
          </w:p>
        </w:tc>
        <w:tc>
          <w:tcPr>
            <w:tcW w:w="4261" w:type="dxa"/>
            <w:noWrap w:val="0"/>
            <w:vAlign w:val="center"/>
          </w:tcPr>
          <w:p>
            <w:pPr>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ascii="宋体" w:hAnsi="宋体" w:eastAsia="宋体" w:cs="宋体"/>
                <w:b w:val="0"/>
                <w:bCs/>
                <w:sz w:val="21"/>
                <w:szCs w:val="21"/>
              </w:rPr>
            </w:pPr>
            <w:r>
              <w:rPr>
                <w:rFonts w:ascii="宋体" w:hAnsi="宋体" w:eastAsia="宋体" w:cs="宋体"/>
                <w:b w:val="0"/>
                <w:bCs/>
                <w:sz w:val="21"/>
                <w:szCs w:val="21"/>
              </w:rPr>
              <w:fldChar w:fldCharType="begin"/>
            </w:r>
            <w:r>
              <w:rPr>
                <w:rFonts w:ascii="宋体" w:hAnsi="宋体" w:eastAsia="宋体" w:cs="宋体"/>
                <w:b w:val="0"/>
                <w:bCs/>
                <w:sz w:val="21"/>
                <w:szCs w:val="21"/>
              </w:rPr>
              <w:instrText xml:space="preserve"> HYPERLINK "http://baike.bitauto.com/basictechparam/20120824/1405815088.html" \t "http://car.bitauto.com/biekegl8/peizhi/_blank" </w:instrText>
            </w:r>
            <w:r>
              <w:rPr>
                <w:rFonts w:ascii="宋体" w:hAnsi="宋体" w:eastAsia="宋体" w:cs="宋体"/>
                <w:b w:val="0"/>
                <w:bCs/>
                <w:sz w:val="21"/>
                <w:szCs w:val="21"/>
              </w:rPr>
              <w:fldChar w:fldCharType="separate"/>
            </w:r>
            <w:r>
              <w:rPr>
                <w:rFonts w:ascii="宋体" w:hAnsi="宋体" w:eastAsia="宋体" w:cs="宋体"/>
                <w:b w:val="0"/>
                <w:bCs/>
                <w:sz w:val="21"/>
                <w:szCs w:val="21"/>
              </w:rPr>
              <w:t>变速箱类型</w:t>
            </w:r>
            <w:r>
              <w:rPr>
                <w:rFonts w:ascii="宋体" w:hAnsi="宋体" w:eastAsia="宋体" w:cs="宋体"/>
                <w:b w:val="0"/>
                <w:bCs/>
                <w:sz w:val="21"/>
                <w:szCs w:val="21"/>
              </w:rPr>
              <w:fldChar w:fldCharType="end"/>
            </w:r>
          </w:p>
        </w:tc>
        <w:tc>
          <w:tcPr>
            <w:tcW w:w="4261" w:type="dxa"/>
            <w:noWrap w:val="0"/>
            <w:vAlign w:val="center"/>
          </w:tcPr>
          <w:p>
            <w:pPr>
              <w:jc w:val="both"/>
              <w:rPr>
                <w:rFonts w:hint="default" w:ascii="宋体" w:hAnsi="宋体" w:eastAsia="宋体" w:cs="宋体"/>
                <w:b w:val="0"/>
                <w:bCs/>
                <w:sz w:val="21"/>
                <w:szCs w:val="21"/>
                <w:lang w:val="en-US"/>
              </w:rPr>
            </w:pPr>
            <w:r>
              <w:rPr>
                <w:rFonts w:hint="eastAsia" w:ascii="宋体" w:hAnsi="宋体" w:eastAsia="宋体" w:cs="宋体"/>
                <w:b w:val="0"/>
                <w:bCs/>
                <w:sz w:val="21"/>
                <w:szCs w:val="21"/>
                <w:lang w:val="en-US" w:eastAsia="zh-CN"/>
              </w:rPr>
              <w:t>9</w:t>
            </w:r>
            <w:r>
              <w:rPr>
                <w:rFonts w:hint="eastAsia" w:ascii="宋体" w:hAnsi="宋体" w:cs="宋体"/>
                <w:b w:val="0"/>
                <w:bCs/>
                <w:sz w:val="21"/>
                <w:szCs w:val="21"/>
                <w:lang w:val="en-US" w:eastAsia="zh-CN"/>
              </w:rPr>
              <w:t>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eastAsia="zh-CN"/>
              </w:rPr>
            </w:pPr>
            <w:r>
              <w:rPr>
                <w:rFonts w:ascii="宋体" w:hAnsi="宋体" w:eastAsia="宋体" w:cs="宋体"/>
                <w:b w:val="0"/>
                <w:bCs/>
                <w:sz w:val="21"/>
                <w:szCs w:val="21"/>
              </w:rPr>
              <w:t>按键式电子排档</w:t>
            </w:r>
          </w:p>
        </w:tc>
        <w:tc>
          <w:tcPr>
            <w:tcW w:w="4261" w:type="dxa"/>
            <w:noWrap w:val="0"/>
            <w:vAlign w:val="center"/>
          </w:tcPr>
          <w:p>
            <w:pPr>
              <w:jc w:val="both"/>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中控屏</w:t>
            </w:r>
          </w:p>
        </w:tc>
        <w:tc>
          <w:tcPr>
            <w:tcW w:w="4261" w:type="dxa"/>
            <w:noWrap w:val="0"/>
            <w:vAlign w:val="center"/>
          </w:tcPr>
          <w:p>
            <w:pPr>
              <w:jc w:val="both"/>
              <w:rPr>
                <w:rFonts w:ascii="宋体" w:hAnsi="宋体" w:eastAsia="宋体" w:cs="宋体"/>
                <w:b w:val="0"/>
                <w:bCs/>
                <w:sz w:val="21"/>
                <w:szCs w:val="21"/>
              </w:rPr>
            </w:pPr>
            <w:r>
              <w:rPr>
                <w:rFonts w:hint="eastAsia" w:ascii="宋体" w:hAnsi="宋体" w:eastAsia="宋体" w:cs="宋体"/>
                <w:b w:val="0"/>
                <w:bCs/>
                <w:sz w:val="21"/>
                <w:szCs w:val="21"/>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LED大灯</w:t>
            </w:r>
          </w:p>
        </w:tc>
        <w:tc>
          <w:tcPr>
            <w:tcW w:w="4261" w:type="dxa"/>
            <w:noWrap w:val="0"/>
            <w:vAlign w:val="center"/>
          </w:tcPr>
          <w:p>
            <w:pPr>
              <w:jc w:val="both"/>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天窗</w:t>
            </w:r>
          </w:p>
        </w:tc>
        <w:tc>
          <w:tcPr>
            <w:tcW w:w="4261" w:type="dxa"/>
            <w:noWrap w:val="0"/>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摩卡棕麂皮绒面内饰</w:t>
            </w:r>
          </w:p>
        </w:tc>
        <w:tc>
          <w:tcPr>
            <w:tcW w:w="4261" w:type="dxa"/>
            <w:noWrap w:val="0"/>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eastAsia="微软雅黑" w:cs="宋体"/>
                <w:b w:val="0"/>
                <w:bCs/>
                <w:sz w:val="21"/>
                <w:szCs w:val="21"/>
                <w:lang w:val="en-US" w:eastAsia="zh-CN"/>
              </w:rPr>
            </w:pPr>
            <w:r>
              <w:rPr>
                <w:rFonts w:hint="eastAsia" w:ascii="宋体" w:hAnsi="宋体" w:cs="宋体"/>
                <w:b w:val="0"/>
                <w:bCs/>
                <w:sz w:val="21"/>
                <w:szCs w:val="21"/>
                <w:lang w:val="en-US" w:eastAsia="zh-CN"/>
              </w:rPr>
              <w:t>主驾驶座椅电动调节、加热</w:t>
            </w:r>
          </w:p>
        </w:tc>
        <w:tc>
          <w:tcPr>
            <w:tcW w:w="4261" w:type="dxa"/>
            <w:noWrap w:val="0"/>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无钥匙进入、启动</w:t>
            </w:r>
          </w:p>
        </w:tc>
        <w:tc>
          <w:tcPr>
            <w:tcW w:w="4261" w:type="dxa"/>
            <w:noWrap w:val="0"/>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后方影像</w:t>
            </w:r>
          </w:p>
        </w:tc>
        <w:tc>
          <w:tcPr>
            <w:tcW w:w="4261" w:type="dxa"/>
            <w:noWrap w:val="0"/>
            <w:vAlign w:val="center"/>
          </w:tcPr>
          <w:p>
            <w:pPr>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定速巡航</w:t>
            </w:r>
          </w:p>
        </w:tc>
        <w:tc>
          <w:tcPr>
            <w:tcW w:w="4261" w:type="dxa"/>
            <w:noWrap w:val="0"/>
            <w:vAlign w:val="center"/>
          </w:tcPr>
          <w:p>
            <w:pPr>
              <w:jc w:val="both"/>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有</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21"/>
          <w:szCs w:val="21"/>
          <w:lang w:val="en-US" w:eastAsia="zh-CN"/>
        </w:rPr>
      </w:pPr>
    </w:p>
    <w:p>
      <w:pPr>
        <w:pStyle w:val="2"/>
        <w:rPr>
          <w:rFonts w:hint="eastAsia" w:ascii="宋体" w:hAnsi="宋体" w:cs="仿宋_GB2312"/>
          <w:sz w:val="30"/>
          <w:szCs w:val="30"/>
          <w:lang w:val="en-US" w:eastAsia="zh-CN"/>
        </w:rPr>
      </w:pPr>
    </w:p>
    <w:p>
      <w:pPr>
        <w:pStyle w:val="11"/>
        <w:ind w:left="0" w:leftChars="0" w:firstLine="0" w:firstLineChars="0"/>
        <w:jc w:val="center"/>
        <w:rPr>
          <w:rFonts w:hint="eastAsia" w:ascii="宋体" w:hAnsi="宋体" w:cs="宋体"/>
          <w:b/>
          <w:bCs/>
          <w:sz w:val="28"/>
          <w:szCs w:val="28"/>
        </w:rPr>
      </w:pPr>
      <w:r>
        <w:rPr>
          <w:rFonts w:hint="eastAsia" w:ascii="宋体" w:hAnsi="宋体" w:cs="宋体"/>
          <w:b/>
          <w:bCs/>
          <w:sz w:val="28"/>
          <w:szCs w:val="28"/>
        </w:rPr>
        <w:t>途岳280TSI舒适版车型参数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长×宽×高 [mm]</w:t>
            </w:r>
          </w:p>
        </w:tc>
        <w:tc>
          <w:tcPr>
            <w:tcW w:w="4261" w:type="dxa"/>
            <w:vAlign w:val="center"/>
          </w:tcPr>
          <w:p>
            <w:pPr>
              <w:widowControl/>
              <w:spacing w:after="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4453x1841x1632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轴距 [mm]</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A1A1A"/>
                <w:sz w:val="21"/>
                <w:szCs w:val="21"/>
                <w:shd w:val="clear" w:color="auto" w:fill="FFFFFF"/>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整备质量 [kg]</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发动机型号</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1A1A1A"/>
                <w:sz w:val="21"/>
                <w:szCs w:val="21"/>
                <w:shd w:val="clear" w:color="auto" w:fill="FFFFFF"/>
              </w:rPr>
            </w:pPr>
            <w:r>
              <w:rPr>
                <w:rFonts w:hint="eastAsia" w:asciiTheme="minorEastAsia" w:hAnsiTheme="minorEastAsia" w:eastAsiaTheme="minorEastAsia" w:cstheme="minorEastAsia"/>
                <w:color w:val="1A1A1A"/>
                <w:sz w:val="21"/>
                <w:szCs w:val="21"/>
                <w:shd w:val="clear" w:color="auto" w:fill="FFFFFF"/>
              </w:rPr>
              <w:t>EA211-DJS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排量 [L]</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1A1A1A"/>
                <w:sz w:val="21"/>
                <w:szCs w:val="21"/>
                <w:shd w:val="clear" w:color="auto" w:fill="FFFFFF"/>
              </w:rPr>
            </w:pPr>
            <w:r>
              <w:rPr>
                <w:rFonts w:hint="eastAsia" w:asciiTheme="minorEastAsia" w:hAnsiTheme="minorEastAsia" w:eastAsiaTheme="minorEastAsia" w:cstheme="minorEastAsia"/>
                <w:color w:val="1A1A1A"/>
                <w:sz w:val="21"/>
                <w:szCs w:val="21"/>
                <w:shd w:val="clear" w:color="auto" w:fill="FFFFFF"/>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气缸数</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1A1A1A"/>
                <w:sz w:val="21"/>
                <w:szCs w:val="21"/>
                <w:shd w:val="clear" w:color="auto" w:fill="FFFFFF"/>
              </w:rPr>
            </w:pPr>
            <w:r>
              <w:rPr>
                <w:rFonts w:hint="eastAsia" w:asciiTheme="minorEastAsia" w:hAnsiTheme="minorEastAsia" w:eastAsiaTheme="minorEastAsia" w:cstheme="minorEastAsia"/>
                <w:color w:val="1A1A1A"/>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最大输出扭矩 [Nm/rpm]</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1A1A1A"/>
                <w:sz w:val="21"/>
                <w:szCs w:val="21"/>
                <w:shd w:val="clear" w:color="auto" w:fill="FFFFFF"/>
              </w:rPr>
            </w:pPr>
            <w:r>
              <w:rPr>
                <w:rFonts w:hint="eastAsia" w:asciiTheme="minorEastAsia" w:hAnsiTheme="minorEastAsia" w:eastAsiaTheme="minorEastAsia" w:cstheme="minorEastAsia"/>
                <w:color w:val="1A1A1A"/>
                <w:sz w:val="21"/>
                <w:szCs w:val="21"/>
                <w:shd w:val="clear" w:color="auto" w:fill="FFFFFF"/>
              </w:rPr>
              <w:t>250/1750-3000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额定功率 [kW/rpm]</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A1A1A"/>
                <w:sz w:val="21"/>
                <w:szCs w:val="21"/>
                <w:shd w:val="clear" w:color="auto" w:fill="FFFFFF"/>
              </w:rPr>
              <w:t>110/5000±200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环保标准</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驱动方式</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变速器</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轮胎</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A1A1A"/>
                <w:sz w:val="21"/>
                <w:szCs w:val="21"/>
                <w:shd w:val="clear" w:color="auto" w:fill="FFFFFF"/>
              </w:rPr>
              <w:t>225/55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备胎</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前悬架类型</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后悬架类型</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A1A1A"/>
                <w:sz w:val="21"/>
                <w:szCs w:val="21"/>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助力类型</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前轮制动器</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A1A1A"/>
                <w:sz w:val="21"/>
                <w:szCs w:val="21"/>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后轮制动器</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1A1A1A"/>
                <w:sz w:val="21"/>
                <w:szCs w:val="21"/>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center"/>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外饰</w:t>
            </w:r>
          </w:p>
        </w:tc>
        <w:tc>
          <w:tcPr>
            <w:tcW w:w="4261" w:type="dxa"/>
            <w:vAlign w:val="center"/>
          </w:tcPr>
          <w:p>
            <w:pPr>
              <w:widowControl w:val="0"/>
              <w:spacing w:after="0"/>
              <w:ind w:left="440"/>
              <w:jc w:val="both"/>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反射式LED大灯</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LED日间行车灯</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前雾灯（带弯道辅助照明系统）</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大灯感光自动开启、大灯离回家功能</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水平对置式全LED尾灯</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全景电动大天窗（带防夹功能）</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银色铝合金行李架</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17寸铝制轮毂</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电动调节外后视镜带转向灯</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可加热外后视镜</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FFFFFF"/>
                <w14:textFill>
                  <w14:solidFill>
                    <w14:schemeClr w14:val="tx1"/>
                  </w14:solidFill>
                </w14:textFill>
              </w:rPr>
              <w:t>内饰</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酷雅黑</w:t>
            </w:r>
          </w:p>
        </w:tc>
        <w:tc>
          <w:tcPr>
            <w:tcW w:w="4261" w:type="dxa"/>
            <w:vAlign w:val="center"/>
          </w:tcPr>
          <w:p>
            <w:pPr>
              <w:widowControl w:val="0"/>
              <w:spacing w:after="0"/>
              <w:ind w:left="44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金属质感喷漆加皮质包覆装饰条</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真皮换挡手柄球头</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多功能行车电脑</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长度高度可调方向盘</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多功能真皮方向盘</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皮革座椅</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驾驶员座椅手动8向可调</w:t>
            </w:r>
          </w:p>
        </w:tc>
        <w:tc>
          <w:tcPr>
            <w:tcW w:w="4261" w:type="dxa"/>
            <w:vAlign w:val="center"/>
          </w:tcPr>
          <w:p>
            <w:pPr>
              <w:widowControl w:val="0"/>
              <w:spacing w:after="0"/>
              <w:ind w:left="44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前排中央扶手（带高度可调）</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4/6可分体折叠后排座椅</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后排中央扶手</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车载12V电源插口</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智能双区全自动空调</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后排出风口</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经典车内氛围灯</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迎宾踏步饰条</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FFFFFF"/>
                <w14:textFill>
                  <w14:solidFill>
                    <w14:schemeClr w14:val="tx1"/>
                  </w14:solidFill>
                </w14:textFill>
              </w:rPr>
              <w:t>安全</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ESP车身稳定系统</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HHC车道起步辅助系统</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MKB多次碰撞预防系统</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EPB电子手刹</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Auto Hold自动驻车</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前排双安全气囊</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前后排头部安全气帘</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前排侧面安全气囊</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全新一代WOKS安全头枕（高度可调）</w:t>
            </w:r>
          </w:p>
        </w:tc>
        <w:tc>
          <w:tcPr>
            <w:tcW w:w="4261" w:type="dxa"/>
            <w:vAlign w:val="center"/>
          </w:tcPr>
          <w:p>
            <w:pPr>
              <w:widowControl/>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1A1A1A"/>
                <w:sz w:val="21"/>
                <w:szCs w:val="21"/>
                <w:shd w:val="clear" w:color="auto" w:fill="FFFFFF"/>
              </w:rPr>
              <w:t>前排三点式燃爆预警安全带</w:t>
            </w:r>
            <w:r>
              <w:rPr>
                <w:rFonts w:hint="eastAsia" w:asciiTheme="minorEastAsia" w:hAnsiTheme="minorEastAsia" w:eastAsiaTheme="minorEastAsia" w:cstheme="minorEastAsia"/>
                <w:color w:val="000000"/>
                <w:sz w:val="21"/>
                <w:szCs w:val="21"/>
              </w:rPr>
              <w:t>（高度可调）</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后排全独立三点式安全带</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前排安全带未系警报装置</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ISOFIX儿童座椅固定装置</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后排儿童安全锁</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电子防盗系统</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智能胎压监测系统</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功能</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发动机启停功能</w:t>
            </w:r>
          </w:p>
        </w:tc>
        <w:tc>
          <w:tcPr>
            <w:tcW w:w="4261" w:type="dxa"/>
            <w:vAlign w:val="center"/>
          </w:tcPr>
          <w:p>
            <w:pPr>
              <w:widowControl w:val="0"/>
              <w:spacing w:after="0"/>
              <w:ind w:left="44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手套箱带冷却</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四门一键式防夹电动车窗</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雨量感应静音无骨雨刮</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Clean Air PM2.5粉尘过滤装置</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行李箱照明灯</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后排两个USB接口（仅充电）</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无钥匙启动</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无钥匙进入</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定速巡航</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疲劳监测</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后倒车雷达</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6扬声器专业级音响系统</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8寸车载智联娱乐交互系统</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智慧车联系统（智联控车，车辆健康报告，车内WIFI）</w:t>
            </w:r>
          </w:p>
        </w:tc>
        <w:tc>
          <w:tcPr>
            <w:tcW w:w="4261" w:type="dxa"/>
          </w:tcPr>
          <w:p>
            <w:pPr>
              <w:widowControl w:val="0"/>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上汽大众超级APP/Carplay/Carlife</w:t>
            </w:r>
          </w:p>
        </w:tc>
        <w:tc>
          <w:tcPr>
            <w:tcW w:w="4261" w:type="dxa"/>
          </w:tcPr>
          <w:p>
            <w:pPr>
              <w:widowControl w:val="0"/>
              <w:spacing w:after="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w:t>
            </w:r>
          </w:p>
        </w:tc>
      </w:tr>
    </w:tbl>
    <w:p>
      <w:pPr>
        <w:pStyle w:val="11"/>
        <w:ind w:left="0" w:leftChars="0" w:firstLine="0" w:firstLineChars="0"/>
        <w:jc w:val="center"/>
        <w:rPr>
          <w:rFonts w:hint="eastAsia" w:ascii="宋体" w:hAnsi="宋体" w:cs="宋体"/>
          <w:b/>
          <w:bCs/>
          <w:sz w:val="21"/>
          <w:szCs w:val="21"/>
        </w:rPr>
      </w:pPr>
    </w:p>
    <w:p>
      <w:pPr>
        <w:pStyle w:val="2"/>
        <w:rPr>
          <w:rFonts w:hint="eastAsia" w:ascii="宋体" w:hAnsi="宋体" w:cs="仿宋_GB2312"/>
          <w:sz w:val="21"/>
          <w:szCs w:val="21"/>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878"/>
        <w:gridCol w:w="1702"/>
        <w:gridCol w:w="58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80" w:type="dxa"/>
            <w:noWrap w:val="0"/>
            <w:vAlign w:val="center"/>
          </w:tcPr>
          <w:p>
            <w:pPr>
              <w:ind w:firstLine="0" w:firstLineChars="0"/>
              <w:jc w:val="center"/>
              <w:rPr>
                <w:rFonts w:hint="eastAsia" w:eastAsiaTheme="minorEastAsia"/>
                <w:sz w:val="24"/>
                <w:szCs w:val="24"/>
                <w:lang w:eastAsia="zh-CN"/>
              </w:rPr>
            </w:pPr>
            <w:r>
              <w:rPr>
                <w:rFonts w:hint="eastAsia"/>
                <w:sz w:val="24"/>
                <w:szCs w:val="24"/>
                <w:lang w:eastAsia="zh-CN"/>
              </w:rPr>
              <w:t>包</w:t>
            </w:r>
          </w:p>
        </w:tc>
        <w:tc>
          <w:tcPr>
            <w:tcW w:w="1260" w:type="dxa"/>
            <w:noWrap w:val="0"/>
            <w:vAlign w:val="center"/>
          </w:tcPr>
          <w:p>
            <w:pPr>
              <w:ind w:firstLine="0" w:firstLineChars="0"/>
              <w:jc w:val="center"/>
              <w:rPr>
                <w:sz w:val="24"/>
                <w:szCs w:val="24"/>
              </w:rPr>
            </w:pPr>
            <w:r>
              <w:rPr>
                <w:rFonts w:hint="eastAsia"/>
                <w:sz w:val="24"/>
                <w:szCs w:val="24"/>
              </w:rPr>
              <w:t>名称</w:t>
            </w:r>
          </w:p>
        </w:tc>
        <w:tc>
          <w:tcPr>
            <w:tcW w:w="2505" w:type="dxa"/>
            <w:noWrap w:val="0"/>
            <w:vAlign w:val="center"/>
          </w:tcPr>
          <w:p>
            <w:pPr>
              <w:ind w:firstLine="0" w:firstLineChars="0"/>
              <w:jc w:val="center"/>
              <w:rPr>
                <w:sz w:val="24"/>
                <w:szCs w:val="24"/>
              </w:rPr>
            </w:pPr>
            <w:r>
              <w:rPr>
                <w:rFonts w:hint="eastAsia"/>
                <w:sz w:val="24"/>
                <w:szCs w:val="24"/>
              </w:rPr>
              <w:t>品牌型号</w:t>
            </w:r>
          </w:p>
        </w:tc>
        <w:tc>
          <w:tcPr>
            <w:tcW w:w="930" w:type="dxa"/>
            <w:noWrap w:val="0"/>
            <w:vAlign w:val="center"/>
          </w:tcPr>
          <w:p>
            <w:pPr>
              <w:ind w:firstLine="0" w:firstLineChars="0"/>
              <w:jc w:val="center"/>
              <w:rPr>
                <w:sz w:val="24"/>
                <w:szCs w:val="24"/>
              </w:rPr>
            </w:pPr>
            <w:r>
              <w:rPr>
                <w:rFonts w:hint="eastAsia"/>
                <w:sz w:val="24"/>
                <w:szCs w:val="24"/>
              </w:rPr>
              <w:t>单位</w:t>
            </w:r>
          </w:p>
        </w:tc>
        <w:tc>
          <w:tcPr>
            <w:tcW w:w="878" w:type="dxa"/>
            <w:noWrap w:val="0"/>
            <w:vAlign w:val="center"/>
          </w:tcPr>
          <w:p>
            <w:pPr>
              <w:ind w:firstLine="0" w:firstLineChars="0"/>
              <w:jc w:val="center"/>
              <w:rPr>
                <w:sz w:val="24"/>
                <w:szCs w:val="24"/>
              </w:rPr>
            </w:pPr>
            <w:r>
              <w:rPr>
                <w:rFonts w:hint="eastAsia"/>
                <w:sz w:val="24"/>
                <w:szCs w:val="24"/>
              </w:rPr>
              <w:t>数量</w:t>
            </w:r>
          </w:p>
        </w:tc>
        <w:tc>
          <w:tcPr>
            <w:tcW w:w="1702" w:type="dxa"/>
            <w:noWrap w:val="0"/>
            <w:vAlign w:val="center"/>
          </w:tcPr>
          <w:p>
            <w:pPr>
              <w:ind w:firstLine="0" w:firstLineChars="0"/>
              <w:jc w:val="center"/>
              <w:rPr>
                <w:rFonts w:hint="eastAsia" w:eastAsiaTheme="minorEastAsia"/>
                <w:sz w:val="24"/>
                <w:szCs w:val="24"/>
                <w:lang w:val="en-US" w:eastAsia="zh-CN"/>
              </w:rPr>
            </w:pPr>
            <w:r>
              <w:rPr>
                <w:rFonts w:hint="eastAsia"/>
                <w:sz w:val="24"/>
                <w:szCs w:val="24"/>
                <w:lang w:val="en-US" w:eastAsia="zh-CN"/>
              </w:rPr>
              <w:t>颜色</w:t>
            </w:r>
          </w:p>
        </w:tc>
        <w:tc>
          <w:tcPr>
            <w:tcW w:w="581" w:type="dxa"/>
            <w:noWrap w:val="0"/>
            <w:vAlign w:val="center"/>
          </w:tcPr>
          <w:p>
            <w:pPr>
              <w:ind w:firstLine="0" w:firstLineChars="0"/>
              <w:jc w:val="center"/>
              <w:rPr>
                <w:sz w:val="24"/>
                <w:szCs w:val="24"/>
              </w:rPr>
            </w:pPr>
            <w:r>
              <w:rPr>
                <w:rFonts w:hint="eastAsia"/>
                <w:sz w:val="24"/>
                <w:szCs w:val="24"/>
              </w:rPr>
              <w:t>单价</w:t>
            </w:r>
          </w:p>
        </w:tc>
        <w:tc>
          <w:tcPr>
            <w:tcW w:w="1084" w:type="dxa"/>
            <w:noWrap w:val="0"/>
            <w:vAlign w:val="center"/>
          </w:tcPr>
          <w:p>
            <w:pPr>
              <w:ind w:firstLine="0" w:firstLineChars="0"/>
              <w:jc w:val="center"/>
              <w:rPr>
                <w:sz w:val="24"/>
                <w:szCs w:val="24"/>
              </w:rPr>
            </w:pP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vMerge w:val="restart"/>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260" w:type="dxa"/>
            <w:noWrap w:val="0"/>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50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GL8 陆上公务舱652T 舒适型</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牛津棕</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80" w:type="dxa"/>
            <w:vMerge w:val="continue"/>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轿车</w:t>
            </w:r>
          </w:p>
        </w:tc>
        <w:tc>
          <w:tcPr>
            <w:tcW w:w="250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别克 君威 552T 智享型</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80" w:type="dxa"/>
            <w:vMerge w:val="restart"/>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250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途岳280TSI舒适版</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碳金灰</w:t>
            </w:r>
            <w:bookmarkStart w:id="140" w:name="_GoBack"/>
            <w:bookmarkEnd w:id="140"/>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80" w:type="dxa"/>
            <w:vMerge w:val="continue"/>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2505" w:type="dxa"/>
            <w:noWrap w:val="0"/>
            <w:vAlign w:val="center"/>
          </w:tcPr>
          <w:p>
            <w:pPr>
              <w:keepNext w:val="0"/>
              <w:keepLines w:val="0"/>
              <w:widowControl/>
              <w:suppressLineNumbers w:val="0"/>
              <w:jc w:val="center"/>
              <w:textAlignment w:val="center"/>
              <w:rPr>
                <w:rFonts w:hint="eastAsia" w:ascii="宋体" w:hAnsi="宋体" w:cs="宋体" w:eastAsiaTheme="minorEastAsia"/>
                <w:b w:val="0"/>
                <w:bCs w:val="0"/>
                <w:sz w:val="21"/>
                <w:szCs w:val="21"/>
                <w:lang w:eastAsia="zh-CN"/>
              </w:rPr>
            </w:pPr>
            <w:r>
              <w:rPr>
                <w:rFonts w:hint="eastAsia" w:asciiTheme="minorEastAsia" w:hAnsiTheme="minorEastAsia" w:eastAsiaTheme="minorEastAsia" w:cstheme="minorEastAsia"/>
                <w:b w:val="0"/>
                <w:bCs w:val="0"/>
                <w:sz w:val="21"/>
                <w:szCs w:val="21"/>
              </w:rPr>
              <w:t>途岳280TSI舒适版</w:t>
            </w:r>
            <w:r>
              <w:rPr>
                <w:rFonts w:hint="eastAsia" w:asciiTheme="minorEastAsia" w:hAnsiTheme="minorEastAsia" w:cstheme="minorEastAsia"/>
                <w:b w:val="0"/>
                <w:bCs w:val="0"/>
                <w:sz w:val="21"/>
                <w:szCs w:val="21"/>
                <w:lang w:eastAsia="zh-CN"/>
              </w:rPr>
              <w:t>（加装警灯）</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8"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白色（制式车样）</w:t>
            </w:r>
          </w:p>
        </w:tc>
        <w:tc>
          <w:tcPr>
            <w:tcW w:w="58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07B82"/>
    <w:rsid w:val="07084811"/>
    <w:rsid w:val="072639A0"/>
    <w:rsid w:val="076F25A8"/>
    <w:rsid w:val="07A10C59"/>
    <w:rsid w:val="07E23ADF"/>
    <w:rsid w:val="080D2DB2"/>
    <w:rsid w:val="08315767"/>
    <w:rsid w:val="086348CE"/>
    <w:rsid w:val="087D63B5"/>
    <w:rsid w:val="087E3A40"/>
    <w:rsid w:val="08852948"/>
    <w:rsid w:val="08AC6280"/>
    <w:rsid w:val="08D613F6"/>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91FA6"/>
    <w:rsid w:val="0B8C0B40"/>
    <w:rsid w:val="0BE53DBD"/>
    <w:rsid w:val="0BE74120"/>
    <w:rsid w:val="0BED5FBE"/>
    <w:rsid w:val="0C0263B2"/>
    <w:rsid w:val="0C210E8A"/>
    <w:rsid w:val="0C2D25CC"/>
    <w:rsid w:val="0C3A6DCE"/>
    <w:rsid w:val="0C471C14"/>
    <w:rsid w:val="0C4D7C21"/>
    <w:rsid w:val="0C5C7E64"/>
    <w:rsid w:val="0C735228"/>
    <w:rsid w:val="0C76767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432E04"/>
    <w:rsid w:val="0F56600C"/>
    <w:rsid w:val="0FA61B22"/>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482EF0"/>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D40EDF"/>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C90DBB"/>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886D0B"/>
    <w:rsid w:val="1DA35BF9"/>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56E93"/>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F272C7"/>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9F428B"/>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929E5"/>
    <w:rsid w:val="419A74AF"/>
    <w:rsid w:val="41AC141A"/>
    <w:rsid w:val="41EB3A9E"/>
    <w:rsid w:val="42002BF2"/>
    <w:rsid w:val="421C1817"/>
    <w:rsid w:val="422229E2"/>
    <w:rsid w:val="42833550"/>
    <w:rsid w:val="4287634C"/>
    <w:rsid w:val="42AD6748"/>
    <w:rsid w:val="42C35F6C"/>
    <w:rsid w:val="42C45FF8"/>
    <w:rsid w:val="42CA1067"/>
    <w:rsid w:val="42E04203"/>
    <w:rsid w:val="42E505D4"/>
    <w:rsid w:val="42E63A7F"/>
    <w:rsid w:val="43117778"/>
    <w:rsid w:val="431C55A9"/>
    <w:rsid w:val="43541CB0"/>
    <w:rsid w:val="43C3015A"/>
    <w:rsid w:val="43C646E2"/>
    <w:rsid w:val="43E04637"/>
    <w:rsid w:val="43E75C8A"/>
    <w:rsid w:val="43FA55C2"/>
    <w:rsid w:val="43FE6560"/>
    <w:rsid w:val="44190C7C"/>
    <w:rsid w:val="442E38B9"/>
    <w:rsid w:val="44335CBE"/>
    <w:rsid w:val="443F05B7"/>
    <w:rsid w:val="444157D5"/>
    <w:rsid w:val="445A46AE"/>
    <w:rsid w:val="445E0231"/>
    <w:rsid w:val="44845A57"/>
    <w:rsid w:val="44951CA9"/>
    <w:rsid w:val="44A5291F"/>
    <w:rsid w:val="44AF5CA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2F7BFF"/>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A44E27"/>
    <w:rsid w:val="4AC54B94"/>
    <w:rsid w:val="4ACB00B3"/>
    <w:rsid w:val="4ADC0ED2"/>
    <w:rsid w:val="4AE048A4"/>
    <w:rsid w:val="4AF451F1"/>
    <w:rsid w:val="4B0938BE"/>
    <w:rsid w:val="4B412DF2"/>
    <w:rsid w:val="4B4E0FC1"/>
    <w:rsid w:val="4B7D39AD"/>
    <w:rsid w:val="4B8143F2"/>
    <w:rsid w:val="4B9565DB"/>
    <w:rsid w:val="4BBB3EF9"/>
    <w:rsid w:val="4BC624A8"/>
    <w:rsid w:val="4BD00645"/>
    <w:rsid w:val="4C144B8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34876"/>
    <w:rsid w:val="4FBD2661"/>
    <w:rsid w:val="4FC31B69"/>
    <w:rsid w:val="4FEE5452"/>
    <w:rsid w:val="5039019E"/>
    <w:rsid w:val="50527900"/>
    <w:rsid w:val="5065178E"/>
    <w:rsid w:val="50695D0B"/>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70191B"/>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59B3"/>
    <w:rsid w:val="5DC11D4B"/>
    <w:rsid w:val="5DCA41FA"/>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21F2D"/>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21078"/>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2D5D56"/>
    <w:rsid w:val="7273599D"/>
    <w:rsid w:val="729C5D0C"/>
    <w:rsid w:val="72A51655"/>
    <w:rsid w:val="72B33B48"/>
    <w:rsid w:val="72BD6B75"/>
    <w:rsid w:val="73253CEE"/>
    <w:rsid w:val="732A6942"/>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693EA1"/>
    <w:rsid w:val="75762B98"/>
    <w:rsid w:val="75871A0B"/>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0329B8"/>
    <w:rsid w:val="78192D15"/>
    <w:rsid w:val="78474B5C"/>
    <w:rsid w:val="78F85C68"/>
    <w:rsid w:val="78FC7191"/>
    <w:rsid w:val="79053EE1"/>
    <w:rsid w:val="79232B20"/>
    <w:rsid w:val="79714322"/>
    <w:rsid w:val="7983555C"/>
    <w:rsid w:val="798B1010"/>
    <w:rsid w:val="799F241C"/>
    <w:rsid w:val="79D97847"/>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C24A90"/>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9420</Words>
  <Characters>10401</Characters>
  <Lines>0</Lines>
  <Paragraphs>0</Paragraphs>
  <TotalTime>9</TotalTime>
  <ScaleCrop>false</ScaleCrop>
  <LinksUpToDate>false</LinksUpToDate>
  <CharactersWithSpaces>12182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2022-04-18T02:19:17Z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9287CD1DB6F74A3D9E0854E8BB5C20FA</vt:lpwstr>
  </property>
</Properties>
</file>