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商务车皮卡车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525632585"/>
      <w:bookmarkStart w:id="3" w:name="_Toc10395_WPSOffice_Level2"/>
      <w:bookmarkStart w:id="4" w:name="_Toc24354_WPSOffice_Level2"/>
      <w:bookmarkStart w:id="5" w:name="_Toc6496_WPSOffice_Level2"/>
      <w:bookmarkStart w:id="6" w:name="_Toc4489_WPSOffice_Level2"/>
      <w:bookmarkStart w:id="7" w:name="_Toc13871"/>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安徽交运集团汽车销售有限公司商务车皮卡车采购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1台商务车，2台皮卡车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8128_WPSOffice_Level2"/>
      <w:bookmarkStart w:id="10" w:name="_Toc10274"/>
      <w:bookmarkStart w:id="11" w:name="_Toc525632586"/>
      <w:bookmarkStart w:id="12" w:name="_Toc18367_WPSOffice_Level2"/>
      <w:bookmarkStart w:id="13" w:name="_Toc17858_WPSOffice_Level2"/>
      <w:bookmarkStart w:id="14" w:name="_Toc18453"/>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bookmarkStart w:id="165" w:name="_GoBack"/>
      <w:bookmarkEnd w:id="16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spacing w:line="240" w:lineRule="auto"/>
        <w:ind w:firstLine="420" w:firstLineChars="200"/>
        <w:rPr>
          <w:rFonts w:hint="default" w:ascii="宋体" w:hAnsi="宋体" w:cs="仿宋_GB2312" w:eastAsiaTheme="minorEastAsia"/>
          <w:sz w:val="30"/>
          <w:szCs w:val="30"/>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1.采购</w:t>
      </w:r>
      <w:r>
        <w:rPr>
          <w:rFonts w:hint="eastAsia" w:ascii="宋体" w:hAnsi="宋体" w:cs="仿宋_GB2312"/>
          <w:sz w:val="21"/>
          <w:szCs w:val="21"/>
          <w:u w:val="single"/>
        </w:rPr>
        <w:t>2021款 PLUS 2.0T 汽油自动行政版</w:t>
      </w:r>
      <w:r>
        <w:rPr>
          <w:rFonts w:hint="eastAsia" w:ascii="宋体" w:hAnsi="宋体" w:cs="仿宋_GB2312"/>
          <w:sz w:val="21"/>
          <w:szCs w:val="21"/>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1890" w:firstLineChars="900"/>
        <w:textAlignment w:val="auto"/>
        <w:rPr>
          <w:rFonts w:hint="default" w:ascii="宋体" w:hAnsi="宋体" w:cs="仿宋_GB2312"/>
          <w:sz w:val="21"/>
          <w:szCs w:val="21"/>
          <w:lang w:val="en-US" w:eastAsia="zh-CN"/>
        </w:rPr>
      </w:pPr>
      <w:r>
        <w:rPr>
          <w:rFonts w:hint="eastAsia" w:ascii="Times New Roman" w:hAnsi="Times New Roman" w:cs="Times New Roman"/>
          <w:color w:val="auto"/>
          <w:sz w:val="21"/>
          <w:szCs w:val="22"/>
          <w:highlight w:val="none"/>
          <w:u w:val="single"/>
          <w:lang w:val="en-US" w:eastAsia="zh-CN"/>
        </w:rPr>
        <w:t>2.采购</w:t>
      </w:r>
      <w:r>
        <w:rPr>
          <w:rFonts w:hint="eastAsia" w:ascii="宋体" w:hAnsi="宋体" w:cs="仿宋_GB2312"/>
          <w:sz w:val="21"/>
          <w:szCs w:val="21"/>
          <w:u w:val="single"/>
          <w:lang w:val="en-US" w:eastAsia="zh-CN"/>
        </w:rPr>
        <w:t xml:space="preserve">2021款 2.0T柴油自动四驱豪华版标厢高底盘 </w:t>
      </w:r>
    </w:p>
    <w:p>
      <w:pPr>
        <w:pageBreakBefore w:val="0"/>
        <w:kinsoku/>
        <w:wordWrap/>
        <w:overflowPunct/>
        <w:topLinePunct w:val="0"/>
        <w:autoSpaceDE/>
        <w:autoSpaceDN/>
        <w:bidi w:val="0"/>
        <w:adjustRightInd/>
        <w:snapToGrid w:val="0"/>
        <w:spacing w:line="560" w:lineRule="exact"/>
        <w:ind w:left="420" w:leftChars="200" w:firstLine="0" w:firstLineChars="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2个合同包（其中，采购采购</w:t>
      </w:r>
      <w:r>
        <w:rPr>
          <w:rFonts w:hint="eastAsia" w:ascii="宋体" w:hAnsi="宋体" w:cs="仿宋_GB2312"/>
          <w:sz w:val="21"/>
          <w:szCs w:val="21"/>
          <w:u w:val="single"/>
        </w:rPr>
        <w:t>2021款 PLUS 2.0T 汽油自动行政版</w:t>
      </w:r>
      <w:r>
        <w:rPr>
          <w:rFonts w:hint="eastAsia" w:ascii="Times New Roman" w:hAnsi="Times New Roman" w:cs="Times New Roman"/>
          <w:color w:val="auto"/>
          <w:sz w:val="21"/>
          <w:szCs w:val="22"/>
          <w:highlight w:val="none"/>
          <w:u w:val="single"/>
          <w:lang w:val="en-US" w:eastAsia="zh-CN"/>
        </w:rPr>
        <w:t>1台为1包；采购</w:t>
      </w:r>
      <w:r>
        <w:rPr>
          <w:rFonts w:hint="eastAsia" w:ascii="宋体" w:hAnsi="宋体" w:cs="仿宋_GB2312"/>
          <w:sz w:val="21"/>
          <w:szCs w:val="21"/>
          <w:u w:val="single"/>
          <w:lang w:val="en-US" w:eastAsia="zh-CN"/>
        </w:rPr>
        <w:t xml:space="preserve">2021款 2.0T柴油自动四驱豪华版标厢高底盘 </w:t>
      </w:r>
      <w:r>
        <w:rPr>
          <w:rFonts w:hint="eastAsia" w:ascii="Times New Roman" w:hAnsi="Times New Roman" w:cs="Times New Roman"/>
          <w:color w:val="auto"/>
          <w:sz w:val="21"/>
          <w:szCs w:val="21"/>
          <w:highlight w:val="none"/>
          <w:u w:val="single"/>
          <w:lang w:val="en-US" w:eastAsia="zh-CN"/>
        </w:rPr>
        <w:t>2台</w:t>
      </w:r>
      <w:r>
        <w:rPr>
          <w:rFonts w:hint="eastAsia" w:ascii="Times New Roman" w:hAnsi="Times New Roman" w:cs="Times New Roman"/>
          <w:color w:val="auto"/>
          <w:sz w:val="21"/>
          <w:szCs w:val="22"/>
          <w:highlight w:val="none"/>
          <w:u w:val="single"/>
          <w:lang w:val="en-US" w:eastAsia="zh-CN"/>
        </w:rPr>
        <w:t xml:space="preserve">为2包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1包控制价20万元，2包控制价36万元（含车辆购置税）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2"/>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22379_WPSOffice_Level2"/>
      <w:bookmarkStart w:id="21" w:name="_Toc29516_WPSOffice_Level2"/>
      <w:bookmarkStart w:id="22" w:name="_Toc525632587"/>
      <w:bookmarkStart w:id="23" w:name="_Toc3714"/>
      <w:bookmarkStart w:id="24" w:name="_Toc6388"/>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4109_WPSOffice_Level2"/>
      <w:bookmarkStart w:id="28" w:name="_Toc2996_WPSOffice_Level2"/>
      <w:bookmarkStart w:id="29" w:name="_Toc29452_WPSOffice_Level2"/>
      <w:bookmarkStart w:id="30" w:name="_Toc525632588"/>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07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321_WPSOffice_Level2"/>
      <w:bookmarkStart w:id="39" w:name="_Toc28571_WPSOffice_Level2"/>
      <w:bookmarkStart w:id="40" w:name="_Toc20572_WPSOffice_Level2"/>
      <w:bookmarkStart w:id="41" w:name="_Toc14943_WPSOffice_Level2"/>
      <w:bookmarkStart w:id="42" w:name="_Toc26829"/>
      <w:bookmarkStart w:id="43" w:name="_Toc52563259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5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26656972"/>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14201245"/>
      <w:bookmarkStart w:id="53" w:name="_Toc906772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14201262"/>
      <w:bookmarkStart w:id="66"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524_WPSOffice_Level2"/>
      <w:bookmarkStart w:id="72" w:name="_Toc12245_WPSOffice_Level2"/>
      <w:bookmarkStart w:id="73" w:name="_Toc218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2932_WPSOffice_Level2"/>
      <w:bookmarkStart w:id="78" w:name="_Toc1346_WPSOffice_Level2"/>
      <w:bookmarkStart w:id="79" w:name="_Toc15620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14207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3913_WPSOffice_Level2"/>
      <w:bookmarkStart w:id="85" w:name="_Toc5114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10"/>
        <w:ind w:left="0" w:leftChars="0" w:firstLine="0" w:firstLineChars="0"/>
        <w:jc w:val="both"/>
        <w:rPr>
          <w:rFonts w:hint="eastAsia" w:cs="宋体"/>
          <w:sz w:val="28"/>
          <w:szCs w:val="28"/>
          <w:u w:val="none"/>
        </w:rPr>
      </w:pPr>
      <w:r>
        <w:rPr>
          <w:rFonts w:hint="eastAsia" w:ascii="仿宋" w:hAnsi="仿宋" w:eastAsia="仿宋" w:cs="仿宋"/>
          <w:b w:val="0"/>
          <w:bCs w:val="0"/>
          <w:sz w:val="28"/>
          <w:szCs w:val="28"/>
          <w:lang w:val="en-US" w:eastAsia="zh-CN"/>
        </w:rPr>
        <w:t>（1）</w:t>
      </w:r>
      <w:r>
        <w:rPr>
          <w:rFonts w:hint="eastAsia" w:ascii="宋体" w:hAnsi="宋体" w:cs="仿宋_GB2312"/>
          <w:sz w:val="30"/>
          <w:szCs w:val="30"/>
        </w:rPr>
        <w:t>2021款 PLUS 2.0T 汽油自动行政版</w:t>
      </w:r>
    </w:p>
    <w:tbl>
      <w:tblPr>
        <w:tblStyle w:val="11"/>
        <w:tblW w:w="9495" w:type="dxa"/>
        <w:tblInd w:w="93" w:type="dxa"/>
        <w:shd w:val="clear" w:color="auto" w:fill="auto"/>
        <w:tblLayout w:type="autofit"/>
        <w:tblCellMar>
          <w:top w:w="0" w:type="dxa"/>
          <w:left w:w="108" w:type="dxa"/>
          <w:bottom w:w="0" w:type="dxa"/>
          <w:right w:w="108" w:type="dxa"/>
        </w:tblCellMar>
      </w:tblPr>
      <w:tblGrid>
        <w:gridCol w:w="3479"/>
        <w:gridCol w:w="6016"/>
      </w:tblGrid>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2.0T汽油自动行政版</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186800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长*宽*高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5198*1980*1928</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扭矩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3198</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8档手自一体（8AT)</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3年或6万公里</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前置后驱</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后悬架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多连杆式独立悬架</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运动、经济模式</w:t>
            </w:r>
          </w:p>
        </w:tc>
      </w:tr>
      <w:tr>
        <w:tblPrEx>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轮胎尺寸</w:t>
            </w:r>
          </w:p>
        </w:tc>
        <w:tc>
          <w:tcPr>
            <w:tcW w:w="6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225/60R17</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主副驾安全气囊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前排侧气囊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胎压监测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前后驻车雷达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定速巡航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电动天窗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座椅面料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仿皮</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360全景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一键启动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无钥匙启动系统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主驾驶电动座椅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无钥匙进入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前排</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多功能方向盘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后排出风口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后排独立自动空调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语音识别控制系统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多媒体系统、电话</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LED日间行车灯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LED远近光源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前后电动车窗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自动头灯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雨量感应式雨刷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中控液晶屏尺寸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12.3英寸</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侧滑门形式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右侧电动左侧手动</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电动后备箱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液晶仪表尺寸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4.2英寸</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外后视镜功能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电动调节加热</w:t>
            </w:r>
          </w:p>
        </w:tc>
      </w:tr>
    </w:tbl>
    <w:p>
      <w:pPr>
        <w:pStyle w:val="10"/>
        <w:ind w:left="0" w:leftChars="0" w:firstLine="0" w:firstLineChars="0"/>
        <w:jc w:val="both"/>
        <w:rPr>
          <w:rFonts w:hint="eastAsia" w:cs="宋体"/>
          <w:sz w:val="28"/>
          <w:szCs w:val="28"/>
          <w:u w:val="none"/>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both"/>
        <w:rPr>
          <w:rFonts w:hint="eastAsia" w:ascii="仿宋" w:hAnsi="仿宋" w:eastAsia="仿宋" w:cs="仿宋"/>
          <w:b/>
          <w:bCs/>
          <w:sz w:val="28"/>
          <w:szCs w:val="28"/>
          <w:lang w:val="en-US" w:eastAsia="zh-CN"/>
        </w:rPr>
      </w:pPr>
    </w:p>
    <w:p>
      <w:pPr>
        <w:spacing w:line="240" w:lineRule="auto"/>
        <w:rPr>
          <w:rFonts w:hint="eastAsia" w:ascii="宋体" w:hAnsi="宋体" w:cs="仿宋_GB2312"/>
          <w:sz w:val="30"/>
          <w:szCs w:val="30"/>
          <w:lang w:val="en-US" w:eastAsia="zh-CN"/>
        </w:rPr>
      </w:pPr>
      <w:r>
        <w:rPr>
          <w:rFonts w:hint="eastAsia" w:ascii="宋体" w:hAnsi="宋体" w:cs="仿宋_GB2312"/>
          <w:sz w:val="30"/>
          <w:szCs w:val="30"/>
          <w:lang w:val="en-US" w:eastAsia="zh-CN"/>
        </w:rPr>
        <w:t>（2）2021款 2.0T柴油自动四驱豪华版标厢高底盘</w:t>
      </w:r>
    </w:p>
    <w:p>
      <w:pPr>
        <w:pStyle w:val="10"/>
        <w:numPr>
          <w:ilvl w:val="0"/>
          <w:numId w:val="0"/>
        </w:numPr>
        <w:ind w:leftChars="0"/>
        <w:jc w:val="both"/>
        <w:rPr>
          <w:rFonts w:hint="eastAsia" w:ascii="仿宋" w:hAnsi="仿宋" w:eastAsia="仿宋" w:cs="仿宋"/>
          <w:b/>
          <w:bCs/>
          <w:sz w:val="28"/>
          <w:szCs w:val="28"/>
          <w:u w:val="none"/>
          <w:lang w:val="en-US" w:eastAsia="zh-CN"/>
        </w:rPr>
      </w:pPr>
    </w:p>
    <w:tbl>
      <w:tblPr>
        <w:tblStyle w:val="11"/>
        <w:tblW w:w="9560" w:type="dxa"/>
        <w:tblInd w:w="93" w:type="dxa"/>
        <w:tblLayout w:type="autofit"/>
        <w:tblCellMar>
          <w:top w:w="0" w:type="dxa"/>
          <w:left w:w="108" w:type="dxa"/>
          <w:bottom w:w="0" w:type="dxa"/>
          <w:right w:w="108" w:type="dxa"/>
        </w:tblCellMar>
      </w:tblPr>
      <w:tblGrid>
        <w:gridCol w:w="1233"/>
        <w:gridCol w:w="4430"/>
        <w:gridCol w:w="3897"/>
      </w:tblGrid>
      <w:tr>
        <w:tblPrEx>
          <w:tblCellMar>
            <w:top w:w="0" w:type="dxa"/>
            <w:left w:w="108" w:type="dxa"/>
            <w:bottom w:w="0" w:type="dxa"/>
            <w:right w:w="108" w:type="dxa"/>
          </w:tblCellMar>
        </w:tblPrEx>
        <w:trPr>
          <w:trHeight w:val="312" w:hRule="atLeast"/>
        </w:trPr>
        <w:tc>
          <w:tcPr>
            <w:tcW w:w="5663" w:type="dxa"/>
            <w:gridSpan w:val="2"/>
            <w:vMerge w:val="restart"/>
            <w:tcBorders>
              <w:top w:val="single" w:color="auto" w:sz="4" w:space="0"/>
              <w:left w:val="single" w:color="auto" w:sz="4" w:space="0"/>
              <w:right w:val="single" w:color="auto" w:sz="4" w:space="0"/>
            </w:tcBorders>
            <w:vAlign w:val="center"/>
          </w:tcPr>
          <w:p>
            <w:pPr>
              <w:spacing w:line="240" w:lineRule="auto"/>
              <w:ind w:firstLine="600" w:firstLineChars="200"/>
              <w:rPr>
                <w:rFonts w:ascii="黑体" w:hAnsi="黑体" w:eastAsia="黑体" w:cs="Tahoma"/>
                <w:b/>
                <w:bCs/>
                <w:sz w:val="24"/>
                <w:szCs w:val="24"/>
              </w:rPr>
            </w:pPr>
            <w:r>
              <w:rPr>
                <w:rFonts w:hint="eastAsia" w:ascii="宋体" w:hAnsi="宋体" w:cs="仿宋_GB2312"/>
                <w:sz w:val="30"/>
                <w:szCs w:val="30"/>
              </w:rPr>
              <w:t>原厂配置</w:t>
            </w:r>
            <w:r>
              <w:rPr>
                <w:rFonts w:hint="eastAsia" w:ascii="宋体" w:hAnsi="宋体" w:cs="仿宋_GB2312"/>
                <w:sz w:val="30"/>
                <w:szCs w:val="30"/>
                <w:lang w:val="en-US" w:eastAsia="zh-CN"/>
              </w:rPr>
              <w:t>+后桥差速锁+LED远近光灯</w:t>
            </w:r>
          </w:p>
        </w:tc>
        <w:tc>
          <w:tcPr>
            <w:tcW w:w="3897" w:type="dxa"/>
            <w:vMerge w:val="restart"/>
            <w:tcBorders>
              <w:top w:val="single" w:color="auto" w:sz="4" w:space="0"/>
              <w:left w:val="single" w:color="auto" w:sz="4" w:space="0"/>
              <w:right w:val="single" w:color="000000" w:sz="4" w:space="0"/>
            </w:tcBorders>
            <w:vAlign w:val="center"/>
          </w:tcPr>
          <w:p>
            <w:pPr>
              <w:adjustRightInd/>
              <w:snapToGrid/>
              <w:spacing w:after="0"/>
              <w:rPr>
                <w:rFonts w:ascii="宋体" w:hAnsi="宋体" w:eastAsia="宋体" w:cs="Tahoma"/>
                <w:color w:val="000000"/>
              </w:rPr>
            </w:pPr>
          </w:p>
        </w:tc>
      </w:tr>
      <w:tr>
        <w:tblPrEx>
          <w:tblCellMar>
            <w:top w:w="0" w:type="dxa"/>
            <w:left w:w="108" w:type="dxa"/>
            <w:bottom w:w="0" w:type="dxa"/>
            <w:right w:w="108" w:type="dxa"/>
          </w:tblCellMar>
        </w:tblPrEx>
        <w:trPr>
          <w:trHeight w:val="312" w:hRule="atLeast"/>
        </w:trPr>
        <w:tc>
          <w:tcPr>
            <w:tcW w:w="5663"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3897" w:type="dxa"/>
            <w:vMerge w:val="continue"/>
            <w:tcBorders>
              <w:top w:val="single" w:color="auto" w:sz="4" w:space="0"/>
              <w:left w:val="single" w:color="auto" w:sz="4" w:space="0"/>
              <w:bottom w:val="single" w:color="000000" w:sz="4" w:space="0"/>
              <w:right w:val="single" w:color="000000" w:sz="4" w:space="0"/>
            </w:tcBorders>
            <w:vAlign w:val="center"/>
          </w:tcPr>
          <w:p>
            <w:pPr>
              <w:adjustRightInd/>
              <w:snapToGrid/>
              <w:spacing w:after="0"/>
              <w:rPr>
                <w:rFonts w:ascii="宋体" w:hAnsi="宋体" w:eastAsia="宋体" w:cs="Tahoma"/>
                <w:color w:val="000000"/>
              </w:rPr>
            </w:pPr>
          </w:p>
        </w:tc>
      </w:tr>
      <w:tr>
        <w:tblPrEx>
          <w:tblCellMar>
            <w:top w:w="0" w:type="dxa"/>
            <w:left w:w="108" w:type="dxa"/>
            <w:bottom w:w="0" w:type="dxa"/>
            <w:right w:w="108" w:type="dxa"/>
          </w:tblCellMar>
        </w:tblPrEx>
        <w:trPr>
          <w:trHeight w:val="285" w:hRule="atLeast"/>
        </w:trPr>
        <w:tc>
          <w:tcPr>
            <w:tcW w:w="1233" w:type="dxa"/>
            <w:vMerge w:val="restart"/>
            <w:tcBorders>
              <w:top w:val="nil"/>
              <w:left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长箱整车  长/宽/高（mm）</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5</w:t>
            </w:r>
            <w:r>
              <w:rPr>
                <w:rFonts w:hint="eastAsia" w:ascii="黑体" w:hAnsi="黑体" w:eastAsia="黑体" w:cs="Tahoma"/>
                <w:sz w:val="24"/>
                <w:szCs w:val="24"/>
                <w:lang w:val="en-US" w:eastAsia="zh-CN"/>
              </w:rPr>
              <w:t>365</w:t>
            </w:r>
            <w:r>
              <w:rPr>
                <w:rFonts w:hint="eastAsia" w:ascii="黑体" w:hAnsi="黑体" w:eastAsia="黑体" w:cs="Tahoma"/>
                <w:sz w:val="24"/>
                <w:szCs w:val="24"/>
              </w:rPr>
              <w:t>X1900X1845</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长箱货箱尺寸（mm）</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1</w:t>
            </w:r>
            <w:r>
              <w:rPr>
                <w:rFonts w:hint="eastAsia" w:ascii="黑体" w:hAnsi="黑体" w:eastAsia="黑体" w:cs="Tahoma"/>
                <w:sz w:val="24"/>
                <w:szCs w:val="24"/>
                <w:lang w:val="en-US" w:eastAsia="zh-CN"/>
              </w:rPr>
              <w:t>5</w:t>
            </w:r>
            <w:r>
              <w:rPr>
                <w:rFonts w:hint="eastAsia" w:ascii="黑体" w:hAnsi="黑体" w:eastAsia="黑体" w:cs="Tahoma"/>
                <w:sz w:val="24"/>
                <w:szCs w:val="24"/>
              </w:rPr>
              <w:t>00X1510X530</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轴距（mm）</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3470（长箱）</w:t>
            </w:r>
          </w:p>
        </w:tc>
      </w:tr>
      <w:tr>
        <w:tblPrEx>
          <w:tblCellMar>
            <w:top w:w="0" w:type="dxa"/>
            <w:left w:w="108" w:type="dxa"/>
            <w:bottom w:w="0" w:type="dxa"/>
            <w:right w:w="108" w:type="dxa"/>
          </w:tblCellMar>
        </w:tblPrEx>
        <w:trPr>
          <w:trHeight w:val="285" w:hRule="atLeast"/>
        </w:trPr>
        <w:tc>
          <w:tcPr>
            <w:tcW w:w="1233" w:type="dxa"/>
            <w:vMerge w:val="restart"/>
            <w:tcBorders>
              <w:top w:val="single" w:color="000000" w:sz="4" w:space="0"/>
              <w:left w:val="single" w:color="000000" w:sz="4" w:space="0"/>
              <w:bottom w:val="single" w:color="000000" w:sz="4" w:space="0"/>
              <w:right w:val="nil"/>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发动机</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燃油类型/排量</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上汽π（2.0T柴油）</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排放标准</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国六</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额定功率</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120kW</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最大扭矩</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400N·m</w:t>
            </w:r>
          </w:p>
        </w:tc>
      </w:tr>
      <w:tr>
        <w:tblPrEx>
          <w:tblCellMar>
            <w:top w:w="0" w:type="dxa"/>
            <w:left w:w="108" w:type="dxa"/>
            <w:bottom w:w="0" w:type="dxa"/>
            <w:right w:w="108" w:type="dxa"/>
          </w:tblCellMar>
        </w:tblPrEx>
        <w:trPr>
          <w:trHeight w:val="285" w:hRule="atLeast"/>
        </w:trPr>
        <w:tc>
          <w:tcPr>
            <w:tcW w:w="1233" w:type="dxa"/>
            <w:tcBorders>
              <w:top w:val="single" w:color="000000" w:sz="4" w:space="0"/>
              <w:left w:val="single" w:color="000000" w:sz="4" w:space="0"/>
              <w:bottom w:val="single" w:color="000000" w:sz="4" w:space="0"/>
              <w:right w:val="nil"/>
            </w:tcBorders>
            <w:shd w:val="clear" w:color="auto" w:fill="auto"/>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变速箱</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变速箱型式</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6AT</w:t>
            </w:r>
          </w:p>
        </w:tc>
      </w:tr>
      <w:tr>
        <w:tblPrEx>
          <w:tblCellMar>
            <w:top w:w="0" w:type="dxa"/>
            <w:left w:w="108" w:type="dxa"/>
            <w:bottom w:w="0" w:type="dxa"/>
            <w:right w:w="108" w:type="dxa"/>
          </w:tblCellMar>
        </w:tblPrEx>
        <w:trPr>
          <w:trHeight w:val="285" w:hRule="atLeast"/>
        </w:trPr>
        <w:tc>
          <w:tcPr>
            <w:tcW w:w="1233" w:type="dxa"/>
            <w:tcBorders>
              <w:top w:val="single" w:color="000000" w:sz="4" w:space="0"/>
              <w:left w:val="single" w:color="000000" w:sz="4" w:space="0"/>
              <w:bottom w:val="single" w:color="000000" w:sz="4" w:space="0"/>
              <w:right w:val="nil"/>
            </w:tcBorders>
            <w:shd w:val="clear" w:color="auto" w:fill="auto"/>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悬架系统</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悬架型式（前/后）</w:t>
            </w:r>
          </w:p>
        </w:tc>
        <w:tc>
          <w:tcPr>
            <w:tcW w:w="3897"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双叉臂螺旋独立悬架/全渐变式钢板弹簧非独立悬架</w:t>
            </w:r>
          </w:p>
        </w:tc>
      </w:tr>
      <w:tr>
        <w:tblPrEx>
          <w:tblCellMar>
            <w:top w:w="0" w:type="dxa"/>
            <w:left w:w="108" w:type="dxa"/>
            <w:bottom w:w="0" w:type="dxa"/>
            <w:right w:w="108" w:type="dxa"/>
          </w:tblCellMar>
        </w:tblPrEx>
        <w:trPr>
          <w:trHeight w:val="285" w:hRule="atLeast"/>
        </w:trPr>
        <w:tc>
          <w:tcPr>
            <w:tcW w:w="1233" w:type="dxa"/>
            <w:vMerge w:val="restart"/>
            <w:tcBorders>
              <w:top w:val="nil"/>
              <w:left w:val="single" w:color="000000" w:sz="4" w:space="0"/>
              <w:bottom w:val="single" w:color="000000" w:sz="4" w:space="0"/>
              <w:right w:val="nil"/>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　</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360环视影像</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eastAsia="zh-CN"/>
              </w:rPr>
              <w:t>定速巡航</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宋体" w:hAnsi="宋体" w:eastAsia="宋体" w:cs="Tahoma"/>
                <w:color w:val="000000"/>
                <w:highlight w:val="none"/>
                <w:lang w:eastAsia="zh-CN"/>
              </w:rPr>
            </w:pPr>
            <w:r>
              <w:rPr>
                <w:rFonts w:hint="eastAsia" w:ascii="宋体" w:hAnsi="宋体" w:eastAsia="宋体" w:cs="Tahoma"/>
                <w:color w:val="000000"/>
                <w:highlight w:val="none"/>
                <w:lang w:eastAsia="zh-CN"/>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lang w:eastAsia="zh-CN"/>
              </w:rPr>
              <w:t>后驻</w:t>
            </w:r>
            <w:r>
              <w:rPr>
                <w:rFonts w:hint="eastAsia" w:ascii="黑体" w:hAnsi="黑体" w:eastAsia="黑体" w:cs="Tahoma"/>
                <w:sz w:val="24"/>
                <w:szCs w:val="24"/>
                <w:highlight w:val="none"/>
              </w:rPr>
              <w:t>车雷达</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ABS+EBD</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ESP车身稳定控制系统</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上坡辅助</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陡坡缓降</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TPMS胎压监测系统</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驾驶员安全气囊</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副驾驶员安全气囊</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驾驶员安全带未系提醒</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全车三点式安全带</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四轮盘刹</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nil"/>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后窗电加热除霜</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语音控制</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val="en-US" w:eastAsia="zh-CN"/>
              </w:rPr>
              <w:t>GPS</w:t>
            </w:r>
            <w:r>
              <w:rPr>
                <w:rFonts w:hint="eastAsia" w:ascii="黑体" w:hAnsi="黑体" w:eastAsia="黑体" w:cs="Tahoma"/>
                <w:sz w:val="24"/>
                <w:szCs w:val="24"/>
                <w:highlight w:val="none"/>
              </w:rPr>
              <w:t>导航</w:t>
            </w:r>
            <w:r>
              <w:rPr>
                <w:rFonts w:hint="eastAsia" w:ascii="黑体" w:hAnsi="黑体" w:eastAsia="黑体" w:cs="Tahoma"/>
                <w:sz w:val="24"/>
                <w:szCs w:val="24"/>
                <w:highlight w:val="none"/>
                <w:lang w:eastAsia="zh-CN"/>
              </w:rPr>
              <w:t>系统</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PEPS无钥匙进入及一键启动</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ECO/POWER/NORMAL三模驾驶</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多功能方向盘</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eastAsia="zh-CN"/>
              </w:rPr>
              <w:t>自动头灯</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自动感应雨刷</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single" w:color="000000" w:sz="4" w:space="0"/>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eastAsia="zh-CN"/>
              </w:rPr>
              <w:t>行车电脑显示屏</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90" w:hRule="atLeast"/>
        </w:trPr>
        <w:tc>
          <w:tcPr>
            <w:tcW w:w="1233" w:type="dxa"/>
            <w:vMerge w:val="restart"/>
            <w:tcBorders>
              <w:top w:val="single" w:color="000000" w:sz="4" w:space="0"/>
              <w:left w:val="single" w:color="000000" w:sz="4" w:space="0"/>
              <w:bottom w:val="nil"/>
              <w:right w:val="nil"/>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舒适娱乐配置</w:t>
            </w: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10.1寸触摸大屏</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USB</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eastAsia="zh-CN"/>
              </w:rPr>
              <w:t>前排座椅加热</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eastAsia="zh-CN"/>
              </w:rPr>
              <w:t>主驾驶电动座椅</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eastAsia="zh-CN"/>
              </w:rPr>
              <w:t>前后电动车窗</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000000" w:sz="4" w:space="0"/>
              <w:left w:val="single" w:color="000000" w:sz="4" w:space="0"/>
              <w:bottom w:val="nil"/>
              <w:right w:val="nil"/>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eastAsia="zh-CN"/>
              </w:rPr>
              <w:t>自动空调</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Tahoma"/>
                <w:b/>
                <w:bCs/>
                <w:sz w:val="24"/>
                <w:szCs w:val="24"/>
              </w:rPr>
            </w:pPr>
            <w:r>
              <w:rPr>
                <w:rFonts w:hint="eastAsia" w:ascii="黑体" w:hAnsi="黑体" w:eastAsia="黑体" w:cs="Tahoma"/>
                <w:b/>
                <w:bCs/>
                <w:sz w:val="24"/>
                <w:szCs w:val="24"/>
              </w:rPr>
              <w:t>外饰配置</w:t>
            </w: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rPr>
              <w:t>轮胎型号</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default" w:ascii="宋体" w:hAnsi="宋体" w:eastAsia="黑体" w:cs="Tahoma"/>
                <w:color w:val="000000"/>
                <w:highlight w:val="none"/>
                <w:lang w:val="en-US" w:eastAsia="zh-CN"/>
              </w:rPr>
            </w:pPr>
            <w:r>
              <w:rPr>
                <w:rFonts w:hint="eastAsia" w:ascii="宋体" w:hAnsi="宋体" w:eastAsia="宋体" w:cs="Tahoma"/>
                <w:color w:val="000000"/>
                <w:highlight w:val="none"/>
                <w:lang w:val="en-US" w:eastAsia="zh-CN"/>
              </w:rPr>
              <w:t>255</w:t>
            </w:r>
            <w:r>
              <w:rPr>
                <w:rFonts w:hint="eastAsia" w:ascii="黑体" w:hAnsi="黑体" w:eastAsia="黑体" w:cs="Tahoma"/>
                <w:sz w:val="24"/>
                <w:szCs w:val="24"/>
                <w:highlight w:val="none"/>
              </w:rPr>
              <w:t>/</w:t>
            </w:r>
            <w:r>
              <w:rPr>
                <w:rFonts w:hint="eastAsia" w:ascii="黑体" w:hAnsi="黑体" w:eastAsia="黑体" w:cs="Tahoma"/>
                <w:sz w:val="24"/>
                <w:szCs w:val="24"/>
                <w:highlight w:val="none"/>
                <w:lang w:val="en-US" w:eastAsia="zh-CN"/>
              </w:rPr>
              <w:t>60R18</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hint="default" w:ascii="黑体" w:hAnsi="黑体" w:eastAsia="黑体" w:cs="Tahoma"/>
                <w:sz w:val="24"/>
                <w:szCs w:val="24"/>
                <w:highlight w:val="none"/>
                <w:lang w:val="en-US" w:eastAsia="zh-CN"/>
              </w:rPr>
            </w:pPr>
            <w:r>
              <w:rPr>
                <w:rFonts w:hint="eastAsia" w:ascii="黑体" w:hAnsi="黑体" w:eastAsia="黑体" w:cs="Tahoma"/>
                <w:sz w:val="24"/>
                <w:szCs w:val="24"/>
                <w:highlight w:val="none"/>
                <w:lang w:val="en-US" w:eastAsia="zh-CN"/>
              </w:rPr>
              <w:t>LED远近光灯</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hint="eastAsia"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hint="default" w:ascii="黑体" w:hAnsi="黑体" w:eastAsia="黑体" w:cs="Tahoma"/>
                <w:sz w:val="24"/>
                <w:szCs w:val="24"/>
                <w:highlight w:val="none"/>
                <w:lang w:val="en-US" w:eastAsia="zh-CN"/>
              </w:rPr>
            </w:pPr>
            <w:r>
              <w:rPr>
                <w:rFonts w:hint="eastAsia" w:ascii="黑体" w:hAnsi="黑体" w:eastAsia="黑体" w:cs="Tahoma"/>
                <w:sz w:val="24"/>
                <w:szCs w:val="24"/>
                <w:highlight w:val="none"/>
                <w:lang w:val="en-US" w:eastAsia="zh-CN"/>
              </w:rPr>
              <w:t>LED日间行车灯</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lang w:eastAsia="zh-CN"/>
              </w:rPr>
              <w:t>车前雾灯</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hint="eastAsia" w:ascii="黑体" w:hAnsi="黑体" w:eastAsia="黑体" w:cs="Tahoma"/>
                <w:sz w:val="24"/>
                <w:szCs w:val="24"/>
                <w:highlight w:val="none"/>
                <w:lang w:eastAsia="zh-CN"/>
              </w:rPr>
            </w:pPr>
            <w:r>
              <w:rPr>
                <w:rFonts w:hint="eastAsia" w:ascii="黑体" w:hAnsi="黑体" w:eastAsia="黑体" w:cs="Tahoma"/>
                <w:sz w:val="24"/>
                <w:szCs w:val="24"/>
                <w:highlight w:val="none"/>
              </w:rPr>
              <w:t>外后视镜</w:t>
            </w:r>
            <w:r>
              <w:rPr>
                <w:rFonts w:hint="eastAsia" w:ascii="黑体" w:hAnsi="黑体" w:eastAsia="黑体" w:cs="Tahoma"/>
                <w:sz w:val="24"/>
                <w:szCs w:val="24"/>
                <w:highlight w:val="none"/>
                <w:lang w:eastAsia="zh-CN"/>
              </w:rPr>
              <w:t>电动调节以及加热</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rPr>
            </w:pPr>
            <w:r>
              <w:rPr>
                <w:rFonts w:hint="eastAsia" w:ascii="黑体" w:hAnsi="黑体" w:eastAsia="黑体" w:cs="Tahoma"/>
                <w:sz w:val="24"/>
                <w:szCs w:val="24"/>
              </w:rPr>
              <w:t>后桥差速锁</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nil"/>
              <w:bottom w:val="single" w:color="auto" w:sz="4" w:space="0"/>
              <w:right w:val="single" w:color="auto" w:sz="4" w:space="0"/>
            </w:tcBorders>
            <w:shd w:val="clear" w:color="auto" w:fill="auto"/>
          </w:tcPr>
          <w:p>
            <w:pPr>
              <w:adjustRightInd/>
              <w:snapToGrid/>
              <w:spacing w:after="0"/>
              <w:jc w:val="center"/>
              <w:rPr>
                <w:rFonts w:ascii="黑体" w:hAnsi="黑体" w:eastAsia="黑体" w:cs="Tahoma"/>
                <w:sz w:val="24"/>
                <w:szCs w:val="24"/>
                <w:highlight w:val="none"/>
              </w:rPr>
            </w:pPr>
            <w:r>
              <w:rPr>
                <w:rFonts w:hint="eastAsia" w:ascii="黑体" w:hAnsi="黑体" w:eastAsia="黑体" w:cs="Tahoma"/>
                <w:sz w:val="24"/>
                <w:szCs w:val="24"/>
                <w:highlight w:val="none"/>
                <w:lang w:eastAsia="zh-CN"/>
              </w:rPr>
              <w:t>车顶</w:t>
            </w:r>
            <w:r>
              <w:rPr>
                <w:rFonts w:hint="eastAsia" w:ascii="黑体" w:hAnsi="黑体" w:eastAsia="黑体" w:cs="Tahoma"/>
                <w:sz w:val="24"/>
                <w:szCs w:val="24"/>
                <w:highlight w:val="none"/>
              </w:rPr>
              <w:t>行李架</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lang w:eastAsia="zh-CN"/>
              </w:rPr>
              <w:t>电动</w:t>
            </w:r>
            <w:r>
              <w:rPr>
                <w:rFonts w:hint="eastAsia" w:ascii="宋体" w:hAnsi="宋体" w:eastAsia="宋体" w:cs="Tahoma"/>
                <w:color w:val="000000"/>
                <w:highlight w:val="none"/>
              </w:rPr>
              <w:t>天窗</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highlight w:val="none"/>
              </w:rPr>
            </w:pPr>
            <w:r>
              <w:rPr>
                <w:rFonts w:hint="eastAsia" w:ascii="宋体" w:hAnsi="宋体" w:eastAsia="宋体" w:cs="Tahoma"/>
                <w:color w:val="000000"/>
                <w:highlight w:val="none"/>
              </w:rPr>
              <w:t>有</w:t>
            </w:r>
          </w:p>
        </w:tc>
      </w:tr>
      <w:tr>
        <w:tblPrEx>
          <w:tblCellMar>
            <w:top w:w="0" w:type="dxa"/>
            <w:left w:w="108" w:type="dxa"/>
            <w:bottom w:w="0" w:type="dxa"/>
            <w:right w:w="108" w:type="dxa"/>
          </w:tblCellMar>
        </w:tblPrEx>
        <w:trPr>
          <w:trHeight w:val="285"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Tahoma"/>
                <w:b/>
                <w:bCs/>
                <w:sz w:val="24"/>
                <w:szCs w:val="24"/>
              </w:rPr>
            </w:pPr>
          </w:p>
        </w:tc>
        <w:tc>
          <w:tcPr>
            <w:tcW w:w="443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工程黄</w:t>
            </w:r>
          </w:p>
        </w:tc>
        <w:tc>
          <w:tcPr>
            <w:tcW w:w="3897"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有</w:t>
            </w:r>
          </w:p>
        </w:tc>
      </w:tr>
    </w:tbl>
    <w:p>
      <w:pPr>
        <w:pStyle w:val="10"/>
        <w:numPr>
          <w:ilvl w:val="0"/>
          <w:numId w:val="0"/>
        </w:numPr>
        <w:ind w:leftChars="0"/>
        <w:jc w:val="both"/>
        <w:rPr>
          <w:rFonts w:hint="eastAsia" w:ascii="宋体" w:hAnsi="宋体" w:cs="仿宋_GB2312"/>
          <w:sz w:val="30"/>
          <w:szCs w:val="30"/>
        </w:rPr>
      </w:pPr>
    </w:p>
    <w:p>
      <w:pPr>
        <w:pStyle w:val="10"/>
        <w:ind w:left="0" w:leftChars="0" w:firstLine="0" w:firstLineChars="0"/>
        <w:jc w:val="both"/>
        <w:rPr>
          <w:rFonts w:hint="default" w:ascii="仿宋" w:hAnsi="仿宋" w:eastAsia="仿宋" w:cs="仿宋"/>
          <w:b/>
          <w:bCs/>
          <w:sz w:val="28"/>
          <w:szCs w:val="28"/>
          <w:lang w:val="en-US" w:eastAsia="zh-CN"/>
        </w:rPr>
      </w:pPr>
    </w:p>
    <w:p>
      <w:pPr>
        <w:pStyle w:val="10"/>
        <w:ind w:left="0" w:leftChars="0" w:firstLine="0" w:firstLineChars="0"/>
        <w:jc w:val="both"/>
        <w:rPr>
          <w:rFonts w:hint="default" w:ascii="仿宋" w:hAnsi="仿宋" w:eastAsia="仿宋" w:cs="仿宋"/>
          <w:b/>
          <w:bCs/>
          <w:sz w:val="28"/>
          <w:szCs w:val="28"/>
          <w:lang w:val="en-US" w:eastAsia="zh-CN"/>
        </w:rPr>
      </w:pPr>
    </w:p>
    <w:p>
      <w:pPr>
        <w:pStyle w:val="10"/>
        <w:numPr>
          <w:ilvl w:val="0"/>
          <w:numId w:val="0"/>
        </w:numPr>
        <w:ind w:leftChars="0"/>
        <w:jc w:val="both"/>
        <w:rPr>
          <w:rFonts w:hint="eastAsia" w:ascii="宋体" w:hAnsi="宋体" w:cs="仿宋_GB2312"/>
          <w:b w:val="0"/>
          <w:bCs w:val="0"/>
          <w:sz w:val="28"/>
          <w:szCs w:val="28"/>
          <w:lang w:val="en-US" w:eastAsia="zh-CN"/>
        </w:rPr>
      </w:pPr>
    </w:p>
    <w:p>
      <w:pPr>
        <w:pStyle w:val="10"/>
        <w:numPr>
          <w:ilvl w:val="0"/>
          <w:numId w:val="0"/>
        </w:numPr>
        <w:ind w:leftChars="0"/>
        <w:jc w:val="both"/>
        <w:rPr>
          <w:rFonts w:hint="eastAsia" w:ascii="宋体" w:hAnsi="宋体" w:cs="仿宋_GB2312"/>
          <w:b w:val="0"/>
          <w:bCs w:val="0"/>
          <w:sz w:val="28"/>
          <w:szCs w:val="28"/>
          <w:lang w:val="en-US" w:eastAsia="zh-CN"/>
        </w:rPr>
      </w:pPr>
    </w:p>
    <w:p>
      <w:pPr>
        <w:pStyle w:val="10"/>
        <w:numPr>
          <w:ilvl w:val="0"/>
          <w:numId w:val="0"/>
        </w:numPr>
        <w:ind w:leftChars="0"/>
        <w:jc w:val="both"/>
        <w:rPr>
          <w:rFonts w:hint="eastAsia" w:ascii="宋体" w:hAnsi="宋体" w:cs="仿宋_GB2312"/>
          <w:b w:val="0"/>
          <w:bCs w:val="0"/>
          <w:sz w:val="28"/>
          <w:szCs w:val="28"/>
          <w:lang w:val="en-US" w:eastAsia="zh-CN"/>
        </w:rPr>
      </w:pPr>
    </w:p>
    <w:p>
      <w:pPr>
        <w:pStyle w:val="10"/>
        <w:numPr>
          <w:ilvl w:val="0"/>
          <w:numId w:val="0"/>
        </w:numPr>
        <w:ind w:leftChars="0"/>
        <w:jc w:val="both"/>
        <w:rPr>
          <w:rFonts w:hint="eastAsia" w:ascii="宋体" w:hAnsi="宋体" w:cs="仿宋_GB2312"/>
          <w:b w:val="0"/>
          <w:bCs w:val="0"/>
          <w:sz w:val="28"/>
          <w:szCs w:val="28"/>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3"/>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2358"/>
        <w:gridCol w:w="874"/>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2358" w:type="dxa"/>
            <w:noWrap w:val="0"/>
            <w:vAlign w:val="center"/>
          </w:tcPr>
          <w:p>
            <w:pPr>
              <w:ind w:firstLine="0" w:firstLineChars="0"/>
              <w:jc w:val="center"/>
              <w:rPr>
                <w:sz w:val="30"/>
                <w:szCs w:val="30"/>
              </w:rPr>
            </w:pPr>
            <w:r>
              <w:rPr>
                <w:rFonts w:hint="eastAsia"/>
                <w:sz w:val="30"/>
                <w:szCs w:val="30"/>
              </w:rPr>
              <w:t>品牌型号</w:t>
            </w:r>
          </w:p>
        </w:tc>
        <w:tc>
          <w:tcPr>
            <w:tcW w:w="874"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30"/>
                <w:szCs w:val="30"/>
              </w:rPr>
            </w:pPr>
            <w:r>
              <w:rPr>
                <w:rFonts w:hint="eastAsia" w:ascii="宋体" w:hAnsi="宋体" w:eastAsia="宋体" w:cs="宋体"/>
                <w:szCs w:val="21"/>
              </w:rPr>
              <w:t>1</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商务车</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1"/>
                <w:szCs w:val="21"/>
              </w:rPr>
              <w:t xml:space="preserve"> </w:t>
            </w:r>
            <w:r>
              <w:rPr>
                <w:rFonts w:hint="eastAsia" w:ascii="宋体" w:hAnsi="宋体" w:cs="仿宋_GB2312"/>
                <w:sz w:val="30"/>
                <w:szCs w:val="30"/>
              </w:rPr>
              <w:t>2021款 PLUS 2.0T 汽油自动行政版</w:t>
            </w:r>
          </w:p>
        </w:tc>
        <w:tc>
          <w:tcPr>
            <w:tcW w:w="874"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cs="宋体"/>
                <w:sz w:val="24"/>
                <w:szCs w:val="22"/>
                <w:lang w:val="en-US" w:eastAsia="zh-CN"/>
              </w:rPr>
              <w:t>熔岩灰</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szCs w:val="21"/>
              </w:rPr>
              <w:t>2</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皮卡</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ascii="宋体" w:hAnsi="宋体" w:cs="仿宋_GB2312"/>
                <w:sz w:val="30"/>
                <w:szCs w:val="30"/>
                <w:lang w:val="en-US" w:eastAsia="zh-CN"/>
              </w:rPr>
              <w:t>2021款 2.0T柴油自动四驱豪华版标厢高底盘</w:t>
            </w:r>
          </w:p>
        </w:tc>
        <w:tc>
          <w:tcPr>
            <w:tcW w:w="874"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1"/>
                <w:szCs w:val="21"/>
                <w:lang w:val="en-US" w:eastAsia="zh-CN" w:bidi="ar-SA"/>
              </w:rPr>
            </w:pPr>
            <w:r>
              <w:rPr>
                <w:rFonts w:hint="eastAsia" w:cs="宋体"/>
                <w:sz w:val="24"/>
                <w:szCs w:val="22"/>
                <w:lang w:val="en-US" w:eastAsia="zh-CN"/>
              </w:rPr>
              <w:t>白红</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130" w:type="dxa"/>
            <w:noWrap w:val="0"/>
            <w:vAlign w:val="center"/>
          </w:tcPr>
          <w:p>
            <w:pPr>
              <w:spacing w:before="100" w:beforeAutospacing="1" w:after="100" w:afterAutospacing="1" w:line="360" w:lineRule="auto"/>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lang w:eastAsia="zh-CN"/>
              </w:rPr>
              <w:t>皮卡</w:t>
            </w: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r>
              <w:rPr>
                <w:rFonts w:hint="eastAsia" w:ascii="宋体" w:hAnsi="宋体" w:cs="仿宋_GB2312"/>
                <w:sz w:val="30"/>
                <w:szCs w:val="30"/>
                <w:lang w:val="en-US" w:eastAsia="zh-CN"/>
              </w:rPr>
              <w:t>2021款 2.0T柴油自动四驱豪华版标厢高底盘</w:t>
            </w:r>
          </w:p>
        </w:tc>
        <w:tc>
          <w:tcPr>
            <w:tcW w:w="874"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1"/>
                <w:szCs w:val="21"/>
                <w:lang w:val="en-US" w:eastAsia="zh-CN" w:bidi="ar-SA"/>
              </w:rPr>
            </w:pPr>
            <w:r>
              <w:rPr>
                <w:rFonts w:hint="eastAsia" w:cs="宋体"/>
                <w:sz w:val="24"/>
                <w:szCs w:val="22"/>
                <w:lang w:val="en-US" w:eastAsia="zh-CN"/>
              </w:rPr>
              <w:t>白</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2"/>
              <w:jc w:val="center"/>
              <w:rPr>
                <w:rFonts w:hint="eastAsia" w:ascii="宋体" w:hAnsi="宋体" w:eastAsia="宋体" w:cs="宋体"/>
                <w:lang w:val="en-US" w:eastAsia="zh-CN"/>
              </w:rPr>
            </w:pPr>
            <w:bookmarkStart w:id="93" w:name="_Toc9834_WPSOffice_Level1"/>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p>
        </w:tc>
        <w:tc>
          <w:tcPr>
            <w:tcW w:w="2358"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p>
        </w:tc>
        <w:tc>
          <w:tcPr>
            <w:tcW w:w="874" w:type="dxa"/>
            <w:noWrap w:val="0"/>
            <w:vAlign w:val="center"/>
          </w:tcPr>
          <w:p>
            <w:pPr>
              <w:ind w:firstLine="0" w:firstLineChars="0"/>
              <w:jc w:val="center"/>
              <w:rPr>
                <w:rFonts w:hint="eastAsia" w:ascii="宋体" w:hAnsi="宋体" w:eastAsia="宋体" w:cs="宋体"/>
                <w:sz w:val="30"/>
                <w:szCs w:val="30"/>
                <w:lang w:eastAsia="zh-CN"/>
              </w:rPr>
            </w:pPr>
          </w:p>
        </w:tc>
        <w:tc>
          <w:tcPr>
            <w:tcW w:w="966" w:type="dxa"/>
            <w:noWrap w:val="0"/>
            <w:vAlign w:val="center"/>
          </w:tcPr>
          <w:p>
            <w:pPr>
              <w:ind w:firstLine="0" w:firstLineChars="0"/>
              <w:jc w:val="center"/>
              <w:rPr>
                <w:rFonts w:hint="default" w:ascii="宋体" w:hAnsi="宋体" w:eastAsia="宋体" w:cs="宋体"/>
                <w:sz w:val="30"/>
                <w:szCs w:val="30"/>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27552_WPSOffice_Level1"/>
      <w:bookmarkStart w:id="96" w:name="_Toc1914_WPSOffice_Level1"/>
      <w:bookmarkStart w:id="97" w:name="_Toc1739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6353_WPSOffice_Level1"/>
      <w:bookmarkStart w:id="105" w:name="_Toc11424_WPSOffice_Level1"/>
      <w:bookmarkStart w:id="106" w:name="_Toc30529_WPSOffice_Level1"/>
      <w:bookmarkStart w:id="107" w:name="_Toc23368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5317_WPSOffice_Level1"/>
      <w:bookmarkStart w:id="110" w:name="_Toc21229_WPSOffice_Level1"/>
      <w:bookmarkStart w:id="111" w:name="_Toc327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5965_WPSOffice_Level1"/>
      <w:bookmarkStart w:id="115" w:name="_Toc29085_WPSOffice_Level1"/>
      <w:bookmarkStart w:id="116" w:name="_Toc23356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0608_WPSOffice_Level1"/>
      <w:bookmarkStart w:id="118" w:name="_Toc23744_WPSOffice_Level1"/>
      <w:bookmarkStart w:id="119" w:name="_Toc18964_WPSOffice_Level1"/>
      <w:bookmarkStart w:id="120" w:name="_Toc7453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9006_WPSOffice_Level1"/>
      <w:bookmarkStart w:id="123" w:name="_Toc1578_WPSOffice_Level1"/>
      <w:bookmarkStart w:id="124" w:name="_Toc2375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9399_WPSOffice_Level1"/>
      <w:bookmarkStart w:id="130" w:name="_Toc2765_WPSOffice_Level1"/>
      <w:bookmarkStart w:id="131" w:name="_Toc18312_WPSOffice_Level1"/>
      <w:bookmarkStart w:id="132" w:name="_Toc30031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4563_WPSOffice_Level1"/>
      <w:bookmarkStart w:id="135" w:name="_Toc32350_WPSOffice_Level1"/>
      <w:bookmarkStart w:id="136" w:name="_Toc8695_WPSOffice_Level1"/>
      <w:bookmarkStart w:id="137" w:name="_Toc18668_WPSOffice_Level1"/>
      <w:bookmarkStart w:id="138" w:name="_Toc1253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24530_WPSOffice_Level1"/>
      <w:bookmarkStart w:id="146" w:name="_Toc15186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3545_WPSOffice_Level1"/>
      <w:bookmarkStart w:id="149" w:name="_Toc22815_WPSOffice_Level1"/>
      <w:bookmarkStart w:id="150" w:name="_Toc7738_WPSOffice_Level1"/>
      <w:bookmarkStart w:id="151" w:name="_Toc314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9004_WPSOffice_Level1"/>
      <w:bookmarkStart w:id="156" w:name="_Toc1452_WPSOffice_Level1"/>
      <w:bookmarkStart w:id="157" w:name="_Toc18547_WPSOffice_Level1"/>
      <w:bookmarkStart w:id="158" w:name="_Toc5072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9267_WPSOffice_Level1"/>
      <w:bookmarkStart w:id="161" w:name="_Toc5403_WPSOffice_Level1"/>
      <w:bookmarkStart w:id="162" w:name="_Toc30712_WPSOffice_Level1"/>
      <w:bookmarkStart w:id="163" w:name="_Toc12019_WPSOffice_Level1"/>
      <w:bookmarkStart w:id="164" w:name="_Toc389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516AAC"/>
    <w:rsid w:val="016467FF"/>
    <w:rsid w:val="028275B1"/>
    <w:rsid w:val="02D65DED"/>
    <w:rsid w:val="03380757"/>
    <w:rsid w:val="033E575A"/>
    <w:rsid w:val="03B141EB"/>
    <w:rsid w:val="03DF68F4"/>
    <w:rsid w:val="03ED0A2F"/>
    <w:rsid w:val="04457667"/>
    <w:rsid w:val="04642508"/>
    <w:rsid w:val="052B12A4"/>
    <w:rsid w:val="06233674"/>
    <w:rsid w:val="08315767"/>
    <w:rsid w:val="08AC6280"/>
    <w:rsid w:val="08D840D9"/>
    <w:rsid w:val="09A35E85"/>
    <w:rsid w:val="0A3641B0"/>
    <w:rsid w:val="0A3769B7"/>
    <w:rsid w:val="0B8C0B40"/>
    <w:rsid w:val="0C210E8A"/>
    <w:rsid w:val="0C2D25CC"/>
    <w:rsid w:val="0C932008"/>
    <w:rsid w:val="0CEE2538"/>
    <w:rsid w:val="0D421699"/>
    <w:rsid w:val="0DE55C13"/>
    <w:rsid w:val="0EC70BFA"/>
    <w:rsid w:val="0EF55437"/>
    <w:rsid w:val="1055158F"/>
    <w:rsid w:val="107348E1"/>
    <w:rsid w:val="11B93700"/>
    <w:rsid w:val="11F4632B"/>
    <w:rsid w:val="12243423"/>
    <w:rsid w:val="12371F81"/>
    <w:rsid w:val="1237641B"/>
    <w:rsid w:val="12752E29"/>
    <w:rsid w:val="12845883"/>
    <w:rsid w:val="129B7928"/>
    <w:rsid w:val="1301017A"/>
    <w:rsid w:val="146A70C1"/>
    <w:rsid w:val="150A1554"/>
    <w:rsid w:val="15C36A4E"/>
    <w:rsid w:val="16057AB2"/>
    <w:rsid w:val="17606543"/>
    <w:rsid w:val="1781794F"/>
    <w:rsid w:val="17F9165D"/>
    <w:rsid w:val="18555ABF"/>
    <w:rsid w:val="199C3B12"/>
    <w:rsid w:val="19B34DB1"/>
    <w:rsid w:val="1B7A2038"/>
    <w:rsid w:val="1D011989"/>
    <w:rsid w:val="1D435A83"/>
    <w:rsid w:val="1D6A0A81"/>
    <w:rsid w:val="1DEE3EE6"/>
    <w:rsid w:val="1EB01493"/>
    <w:rsid w:val="1EB45B84"/>
    <w:rsid w:val="1ED566BF"/>
    <w:rsid w:val="1F8841C9"/>
    <w:rsid w:val="1FFF49B3"/>
    <w:rsid w:val="200A49DA"/>
    <w:rsid w:val="209A4709"/>
    <w:rsid w:val="20A32AD4"/>
    <w:rsid w:val="21303DB9"/>
    <w:rsid w:val="21D11C50"/>
    <w:rsid w:val="21FC1CC5"/>
    <w:rsid w:val="220F22ED"/>
    <w:rsid w:val="22290B71"/>
    <w:rsid w:val="228C37EE"/>
    <w:rsid w:val="228C4603"/>
    <w:rsid w:val="23202A87"/>
    <w:rsid w:val="23533555"/>
    <w:rsid w:val="23B5629D"/>
    <w:rsid w:val="249A29C0"/>
    <w:rsid w:val="24C22F3D"/>
    <w:rsid w:val="24CC38EA"/>
    <w:rsid w:val="2507530A"/>
    <w:rsid w:val="252C2973"/>
    <w:rsid w:val="25D376ED"/>
    <w:rsid w:val="26AC54AE"/>
    <w:rsid w:val="270A6B81"/>
    <w:rsid w:val="27224050"/>
    <w:rsid w:val="276F5392"/>
    <w:rsid w:val="276F78A4"/>
    <w:rsid w:val="27A22B9A"/>
    <w:rsid w:val="27E17707"/>
    <w:rsid w:val="28CB2405"/>
    <w:rsid w:val="2A9758C1"/>
    <w:rsid w:val="2AA86D0F"/>
    <w:rsid w:val="2AC0255C"/>
    <w:rsid w:val="2ACA3C75"/>
    <w:rsid w:val="2B1C6134"/>
    <w:rsid w:val="2B752198"/>
    <w:rsid w:val="2D044DD1"/>
    <w:rsid w:val="2D5E7110"/>
    <w:rsid w:val="2D853AD8"/>
    <w:rsid w:val="2D8B655F"/>
    <w:rsid w:val="2E452391"/>
    <w:rsid w:val="2E5113E2"/>
    <w:rsid w:val="2E704C0F"/>
    <w:rsid w:val="2EBF392D"/>
    <w:rsid w:val="2F1C5807"/>
    <w:rsid w:val="2F7E56E8"/>
    <w:rsid w:val="300C6F30"/>
    <w:rsid w:val="30B751B3"/>
    <w:rsid w:val="30EF615D"/>
    <w:rsid w:val="31CB160E"/>
    <w:rsid w:val="32A15D40"/>
    <w:rsid w:val="32E2300A"/>
    <w:rsid w:val="3356659E"/>
    <w:rsid w:val="33A67436"/>
    <w:rsid w:val="33FF7757"/>
    <w:rsid w:val="346C40F4"/>
    <w:rsid w:val="35C87EEC"/>
    <w:rsid w:val="368558B3"/>
    <w:rsid w:val="36876E6A"/>
    <w:rsid w:val="36980DD0"/>
    <w:rsid w:val="36C0156D"/>
    <w:rsid w:val="36CF4BC1"/>
    <w:rsid w:val="371B6C62"/>
    <w:rsid w:val="37E57834"/>
    <w:rsid w:val="383261D0"/>
    <w:rsid w:val="385D1023"/>
    <w:rsid w:val="38646884"/>
    <w:rsid w:val="38910860"/>
    <w:rsid w:val="39266477"/>
    <w:rsid w:val="398F73DC"/>
    <w:rsid w:val="39C01BBA"/>
    <w:rsid w:val="3AB3450A"/>
    <w:rsid w:val="3AB73885"/>
    <w:rsid w:val="3AD155B7"/>
    <w:rsid w:val="3AFA4DDD"/>
    <w:rsid w:val="3B41700C"/>
    <w:rsid w:val="3B4336D5"/>
    <w:rsid w:val="3BBE774B"/>
    <w:rsid w:val="3CC669C0"/>
    <w:rsid w:val="3CCC78C1"/>
    <w:rsid w:val="3D191420"/>
    <w:rsid w:val="3E234CC4"/>
    <w:rsid w:val="3ECD7713"/>
    <w:rsid w:val="3ECE2C18"/>
    <w:rsid w:val="3FDC294A"/>
    <w:rsid w:val="405F54C4"/>
    <w:rsid w:val="414810A7"/>
    <w:rsid w:val="4173688E"/>
    <w:rsid w:val="417807D9"/>
    <w:rsid w:val="418D27F5"/>
    <w:rsid w:val="42BE7F53"/>
    <w:rsid w:val="42CA1067"/>
    <w:rsid w:val="42E63A7F"/>
    <w:rsid w:val="43541CB0"/>
    <w:rsid w:val="43C646E2"/>
    <w:rsid w:val="44190C7C"/>
    <w:rsid w:val="45341E5B"/>
    <w:rsid w:val="45A61A3F"/>
    <w:rsid w:val="45E2131C"/>
    <w:rsid w:val="46160757"/>
    <w:rsid w:val="46CA2A30"/>
    <w:rsid w:val="46E55EA9"/>
    <w:rsid w:val="46E903F6"/>
    <w:rsid w:val="471A08BE"/>
    <w:rsid w:val="47407861"/>
    <w:rsid w:val="483010A5"/>
    <w:rsid w:val="4A1A4DC2"/>
    <w:rsid w:val="4A6E2D05"/>
    <w:rsid w:val="4B4E0FC1"/>
    <w:rsid w:val="4B8143F2"/>
    <w:rsid w:val="4BC624A8"/>
    <w:rsid w:val="4CDC10F5"/>
    <w:rsid w:val="4CE67327"/>
    <w:rsid w:val="4CEB61EE"/>
    <w:rsid w:val="4D640D09"/>
    <w:rsid w:val="4D934E46"/>
    <w:rsid w:val="4DAB5909"/>
    <w:rsid w:val="4DCD56A8"/>
    <w:rsid w:val="4F4B5944"/>
    <w:rsid w:val="50527900"/>
    <w:rsid w:val="512B60B4"/>
    <w:rsid w:val="51C621E0"/>
    <w:rsid w:val="51D05EF0"/>
    <w:rsid w:val="52B54EDC"/>
    <w:rsid w:val="52EC44CE"/>
    <w:rsid w:val="5392540C"/>
    <w:rsid w:val="56FF2C87"/>
    <w:rsid w:val="57735468"/>
    <w:rsid w:val="57AC473C"/>
    <w:rsid w:val="58212766"/>
    <w:rsid w:val="583B5BED"/>
    <w:rsid w:val="58575B08"/>
    <w:rsid w:val="59020C98"/>
    <w:rsid w:val="59A76356"/>
    <w:rsid w:val="5B1001B5"/>
    <w:rsid w:val="5B811F6C"/>
    <w:rsid w:val="5BCF6F3C"/>
    <w:rsid w:val="5BD55463"/>
    <w:rsid w:val="5BD64EC0"/>
    <w:rsid w:val="5CC6567E"/>
    <w:rsid w:val="5DCF2540"/>
    <w:rsid w:val="5DDE0A36"/>
    <w:rsid w:val="5DE9733D"/>
    <w:rsid w:val="5DED6180"/>
    <w:rsid w:val="60094922"/>
    <w:rsid w:val="60A14466"/>
    <w:rsid w:val="6107582C"/>
    <w:rsid w:val="61D740F7"/>
    <w:rsid w:val="6228683D"/>
    <w:rsid w:val="62756CE9"/>
    <w:rsid w:val="6294722E"/>
    <w:rsid w:val="62E56056"/>
    <w:rsid w:val="63023C14"/>
    <w:rsid w:val="63295801"/>
    <w:rsid w:val="638B6757"/>
    <w:rsid w:val="639E2905"/>
    <w:rsid w:val="64BD6E2A"/>
    <w:rsid w:val="64C67E05"/>
    <w:rsid w:val="64CF0127"/>
    <w:rsid w:val="64DA2E60"/>
    <w:rsid w:val="65283AF6"/>
    <w:rsid w:val="65E06B45"/>
    <w:rsid w:val="664E5351"/>
    <w:rsid w:val="66595BE2"/>
    <w:rsid w:val="66ED6329"/>
    <w:rsid w:val="6777089F"/>
    <w:rsid w:val="68E44CD3"/>
    <w:rsid w:val="692F3612"/>
    <w:rsid w:val="69692F41"/>
    <w:rsid w:val="699A4896"/>
    <w:rsid w:val="6AA0506A"/>
    <w:rsid w:val="6B804D34"/>
    <w:rsid w:val="6B922CD6"/>
    <w:rsid w:val="6B9532DD"/>
    <w:rsid w:val="6C0356D1"/>
    <w:rsid w:val="6D407B93"/>
    <w:rsid w:val="6D7A5E4E"/>
    <w:rsid w:val="6DB0119C"/>
    <w:rsid w:val="6DBC0C33"/>
    <w:rsid w:val="6E4E2C42"/>
    <w:rsid w:val="6E5227E6"/>
    <w:rsid w:val="6E680A74"/>
    <w:rsid w:val="6F5959E9"/>
    <w:rsid w:val="6F7D4D72"/>
    <w:rsid w:val="6FBF6389"/>
    <w:rsid w:val="6FC753E3"/>
    <w:rsid w:val="70CC3C5C"/>
    <w:rsid w:val="70E66DDE"/>
    <w:rsid w:val="71F83650"/>
    <w:rsid w:val="73253CEE"/>
    <w:rsid w:val="7481099D"/>
    <w:rsid w:val="74B57A32"/>
    <w:rsid w:val="74E16D8B"/>
    <w:rsid w:val="751C632F"/>
    <w:rsid w:val="75991092"/>
    <w:rsid w:val="76373B59"/>
    <w:rsid w:val="765B6B67"/>
    <w:rsid w:val="765F6F55"/>
    <w:rsid w:val="769B5423"/>
    <w:rsid w:val="77A870F8"/>
    <w:rsid w:val="77C853D2"/>
    <w:rsid w:val="77D9063B"/>
    <w:rsid w:val="78FC7191"/>
    <w:rsid w:val="79714322"/>
    <w:rsid w:val="7A6E4C98"/>
    <w:rsid w:val="7AC22E37"/>
    <w:rsid w:val="7B367327"/>
    <w:rsid w:val="7B5E2AA7"/>
    <w:rsid w:val="7BF7759F"/>
    <w:rsid w:val="7C366D83"/>
    <w:rsid w:val="7CB163F4"/>
    <w:rsid w:val="7CD4053F"/>
    <w:rsid w:val="7D796EE5"/>
    <w:rsid w:val="7D947886"/>
    <w:rsid w:val="7DE91C2E"/>
    <w:rsid w:val="7E0247C5"/>
    <w:rsid w:val="7E3D10ED"/>
    <w:rsid w:val="7EA652E1"/>
    <w:rsid w:val="7EAD7C73"/>
    <w:rsid w:val="7ED656C1"/>
    <w:rsid w:val="7EF11A57"/>
    <w:rsid w:val="7F5B6C76"/>
    <w:rsid w:val="7FA2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default" w:ascii="Times New Roman" w:hAnsi="Times New Roman" w:cs="Times New Roman"/>
      <w:color w:val="000000"/>
      <w:sz w:val="24"/>
      <w:szCs w:val="24"/>
      <w:u w:val="none"/>
    </w:rPr>
  </w:style>
  <w:style w:type="character" w:customStyle="1" w:styleId="23">
    <w:name w:val="font11"/>
    <w:basedOn w:val="13"/>
    <w:qFormat/>
    <w:uiPriority w:val="0"/>
    <w:rPr>
      <w:rFonts w:hint="eastAsia" w:ascii="宋体" w:hAnsi="宋体" w:eastAsia="宋体" w:cs="宋体"/>
      <w:color w:val="000000"/>
      <w:sz w:val="24"/>
      <w:szCs w:val="24"/>
      <w:u w:val="none"/>
    </w:rPr>
  </w:style>
  <w:style w:type="character" w:customStyle="1" w:styleId="24">
    <w:name w:val="font51"/>
    <w:basedOn w:val="13"/>
    <w:qFormat/>
    <w:uiPriority w:val="0"/>
    <w:rPr>
      <w:rFonts w:ascii="Calibri" w:hAnsi="Calibri" w:cs="Calibri"/>
      <w:color w:val="000000"/>
      <w:sz w:val="24"/>
      <w:szCs w:val="24"/>
      <w:u w:val="none"/>
    </w:rPr>
  </w:style>
  <w:style w:type="character" w:customStyle="1" w:styleId="25">
    <w:name w:val="font21"/>
    <w:basedOn w:val="13"/>
    <w:qFormat/>
    <w:uiPriority w:val="0"/>
    <w:rPr>
      <w:rFonts w:hint="eastAsia" w:ascii="宋体" w:hAnsi="宋体" w:eastAsia="宋体" w:cs="宋体"/>
      <w:b/>
      <w:bCs/>
      <w:color w:val="000000"/>
      <w:sz w:val="20"/>
      <w:szCs w:val="20"/>
      <w:u w:val="none"/>
    </w:rPr>
  </w:style>
  <w:style w:type="character" w:customStyle="1" w:styleId="26">
    <w:name w:val="font81"/>
    <w:basedOn w:val="13"/>
    <w:qFormat/>
    <w:uiPriority w:val="0"/>
    <w:rPr>
      <w:rFonts w:hint="default" w:ascii="Times New Roman" w:hAnsi="Times New Roman" w:cs="Times New Roman"/>
      <w:b/>
      <w:bCs/>
      <w:color w:val="000000"/>
      <w:sz w:val="20"/>
      <w:szCs w:val="20"/>
      <w:u w:val="none"/>
    </w:rPr>
  </w:style>
  <w:style w:type="character" w:customStyle="1" w:styleId="27">
    <w:name w:val="font41"/>
    <w:basedOn w:val="13"/>
    <w:qFormat/>
    <w:uiPriority w:val="0"/>
    <w:rPr>
      <w:rFonts w:hint="eastAsia" w:ascii="宋体" w:hAnsi="宋体" w:eastAsia="宋体" w:cs="宋体"/>
      <w:color w:val="000000"/>
      <w:sz w:val="20"/>
      <w:szCs w:val="20"/>
      <w:u w:val="none"/>
    </w:rPr>
  </w:style>
  <w:style w:type="character" w:customStyle="1" w:styleId="28">
    <w:name w:val="font71"/>
    <w:basedOn w:val="13"/>
    <w:qFormat/>
    <w:uiPriority w:val="0"/>
    <w:rPr>
      <w:rFonts w:hint="eastAsia" w:ascii="宋体" w:hAnsi="宋体" w:eastAsia="宋体" w:cs="宋体"/>
      <w:b/>
      <w:bCs/>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HP</cp:lastModifiedBy>
  <dcterms:modified xsi:type="dcterms:W3CDTF">2021-05-01T09:07:13Z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9287CD1DB6F74A3D9E0854E8BB5C20FA</vt:lpwstr>
  </property>
</Properties>
</file>